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B0629" w14:textId="659EA457" w:rsidR="00DC5180" w:rsidRPr="0033027D" w:rsidRDefault="00E73A82" w:rsidP="3872DEB3">
      <w:pPr>
        <w:pStyle w:val="CRCoverPage"/>
        <w:tabs>
          <w:tab w:val="right" w:pos="9639"/>
        </w:tabs>
        <w:spacing w:after="0"/>
        <w:rPr>
          <w:b/>
          <w:bCs/>
          <w:noProof/>
          <w:sz w:val="24"/>
          <w:szCs w:val="24"/>
          <w:lang w:eastAsia="ja-JP"/>
        </w:rPr>
      </w:pPr>
      <w:bookmarkStart w:id="0" w:name="_Hlk162609689"/>
      <w:bookmarkStart w:id="1" w:name="_Hlk514061252"/>
      <w:bookmarkEnd w:id="0"/>
      <w:r w:rsidRPr="3872DEB3">
        <w:rPr>
          <w:b/>
          <w:bCs/>
          <w:noProof/>
          <w:sz w:val="24"/>
          <w:szCs w:val="24"/>
        </w:rPr>
        <w:t>3</w:t>
      </w:r>
      <w:r w:rsidR="00DC5180" w:rsidRPr="3872DEB3">
        <w:rPr>
          <w:b/>
          <w:bCs/>
          <w:noProof/>
          <w:sz w:val="24"/>
          <w:szCs w:val="24"/>
        </w:rPr>
        <w:t>GPP TSG</w:t>
      </w:r>
      <w:r w:rsidR="00D81C65" w:rsidRPr="3872DEB3">
        <w:rPr>
          <w:b/>
          <w:bCs/>
          <w:noProof/>
          <w:sz w:val="24"/>
          <w:szCs w:val="24"/>
        </w:rPr>
        <w:t>-</w:t>
      </w:r>
      <w:r w:rsidR="00DC5180" w:rsidRPr="3872DEB3">
        <w:rPr>
          <w:b/>
          <w:bCs/>
          <w:noProof/>
          <w:sz w:val="24"/>
          <w:szCs w:val="24"/>
        </w:rPr>
        <w:t xml:space="preserve">RAN </w:t>
      </w:r>
      <w:r w:rsidR="0080320A" w:rsidRPr="3872DEB3">
        <w:rPr>
          <w:b/>
          <w:bCs/>
          <w:noProof/>
          <w:sz w:val="24"/>
          <w:szCs w:val="24"/>
        </w:rPr>
        <w:t xml:space="preserve">WG4 </w:t>
      </w:r>
      <w:r w:rsidR="00DC5180" w:rsidRPr="3872DEB3">
        <w:rPr>
          <w:b/>
          <w:bCs/>
          <w:noProof/>
          <w:sz w:val="24"/>
          <w:szCs w:val="24"/>
        </w:rPr>
        <w:t>Meeting</w:t>
      </w:r>
      <w:r w:rsidR="007B605F" w:rsidRPr="3872DEB3">
        <w:rPr>
          <w:b/>
          <w:bCs/>
          <w:noProof/>
          <w:sz w:val="24"/>
          <w:szCs w:val="24"/>
        </w:rPr>
        <w:t xml:space="preserve"> #</w:t>
      </w:r>
      <w:bookmarkEnd w:id="1"/>
      <w:r w:rsidR="00657AB4" w:rsidRPr="3872DEB3">
        <w:rPr>
          <w:b/>
          <w:bCs/>
          <w:noProof/>
          <w:sz w:val="24"/>
          <w:szCs w:val="24"/>
        </w:rPr>
        <w:t>1</w:t>
      </w:r>
      <w:r w:rsidR="00155ECF" w:rsidRPr="3872DEB3">
        <w:rPr>
          <w:b/>
          <w:bCs/>
          <w:noProof/>
          <w:sz w:val="24"/>
          <w:szCs w:val="24"/>
        </w:rPr>
        <w:t>1</w:t>
      </w:r>
      <w:r w:rsidR="00544C85">
        <w:rPr>
          <w:b/>
          <w:bCs/>
          <w:noProof/>
          <w:sz w:val="24"/>
          <w:szCs w:val="24"/>
        </w:rPr>
        <w:t>2</w:t>
      </w:r>
      <w:r w:rsidR="00C66FBC">
        <w:rPr>
          <w:b/>
          <w:bCs/>
          <w:noProof/>
          <w:sz w:val="24"/>
          <w:szCs w:val="24"/>
        </w:rPr>
        <w:t>-</w:t>
      </w:r>
      <w:r w:rsidR="00144800">
        <w:rPr>
          <w:b/>
          <w:bCs/>
          <w:noProof/>
          <w:sz w:val="24"/>
          <w:szCs w:val="24"/>
        </w:rPr>
        <w:t>bis</w:t>
      </w:r>
      <w:r>
        <w:tab/>
      </w:r>
      <w:r w:rsidR="00A97251" w:rsidRPr="3872DEB3">
        <w:rPr>
          <w:b/>
          <w:bCs/>
          <w:noProof/>
          <w:sz w:val="24"/>
          <w:szCs w:val="24"/>
        </w:rPr>
        <w:t>R4-2</w:t>
      </w:r>
      <w:r w:rsidR="79F61067" w:rsidRPr="3872DEB3">
        <w:rPr>
          <w:b/>
          <w:bCs/>
          <w:noProof/>
          <w:sz w:val="24"/>
          <w:szCs w:val="24"/>
        </w:rPr>
        <w:t>4</w:t>
      </w:r>
      <w:r w:rsidR="00C97BAD">
        <w:rPr>
          <w:b/>
          <w:bCs/>
          <w:noProof/>
          <w:sz w:val="24"/>
          <w:szCs w:val="24"/>
        </w:rPr>
        <w:t>15713</w:t>
      </w:r>
    </w:p>
    <w:p w14:paraId="63C63B34" w14:textId="53DF695C" w:rsidR="001512D7" w:rsidRPr="0010618D" w:rsidRDefault="005F1E31" w:rsidP="00DC5180">
      <w:pPr>
        <w:spacing w:after="60"/>
        <w:ind w:left="1985" w:hanging="1985"/>
        <w:rPr>
          <w:rFonts w:ascii="Arial" w:hAnsi="Arial" w:cs="Arial"/>
          <w:bCs/>
        </w:rPr>
      </w:pPr>
      <w:r>
        <w:rPr>
          <w:rFonts w:ascii="Arial" w:hAnsi="Arial" w:cs="Arial"/>
          <w:b/>
          <w:sz w:val="24"/>
        </w:rPr>
        <w:t>Hefei, China</w:t>
      </w:r>
      <w:r w:rsidR="00380A44">
        <w:rPr>
          <w:rFonts w:ascii="Arial" w:hAnsi="Arial" w:cs="Arial"/>
          <w:b/>
          <w:sz w:val="24"/>
        </w:rPr>
        <w:t xml:space="preserve">, </w:t>
      </w:r>
      <w:r w:rsidR="00754BE3">
        <w:rPr>
          <w:rFonts w:ascii="Arial" w:hAnsi="Arial" w:cs="Arial"/>
          <w:b/>
          <w:sz w:val="24"/>
        </w:rPr>
        <w:t>1</w:t>
      </w:r>
      <w:r w:rsidR="00C66FBC">
        <w:rPr>
          <w:rFonts w:ascii="Arial" w:hAnsi="Arial" w:cs="Arial"/>
          <w:b/>
          <w:sz w:val="24"/>
        </w:rPr>
        <w:t>4</w:t>
      </w:r>
      <w:r w:rsidR="00380A44" w:rsidRPr="002542A0">
        <w:rPr>
          <w:rFonts w:ascii="Arial" w:hAnsi="Arial" w:cs="Arial"/>
          <w:b/>
          <w:sz w:val="24"/>
          <w:vertAlign w:val="superscript"/>
        </w:rPr>
        <w:t>th</w:t>
      </w:r>
      <w:r w:rsidR="00380A44">
        <w:rPr>
          <w:rFonts w:ascii="Arial" w:hAnsi="Arial" w:cs="Arial"/>
          <w:b/>
          <w:sz w:val="24"/>
        </w:rPr>
        <w:t xml:space="preserve"> -</w:t>
      </w:r>
      <w:r w:rsidR="00C66FBC">
        <w:rPr>
          <w:rFonts w:ascii="Arial" w:hAnsi="Arial" w:cs="Arial"/>
          <w:b/>
          <w:sz w:val="24"/>
        </w:rPr>
        <w:t>18</w:t>
      </w:r>
      <w:r w:rsidR="00C66FBC" w:rsidRPr="00C66FBC">
        <w:rPr>
          <w:rFonts w:ascii="Arial" w:hAnsi="Arial" w:cs="Arial"/>
          <w:b/>
          <w:sz w:val="24"/>
          <w:vertAlign w:val="superscript"/>
        </w:rPr>
        <w:t>th</w:t>
      </w:r>
      <w:r w:rsidR="00C66FBC">
        <w:rPr>
          <w:rFonts w:ascii="Arial" w:hAnsi="Arial" w:cs="Arial"/>
          <w:b/>
          <w:sz w:val="24"/>
        </w:rPr>
        <w:t xml:space="preserve"> October</w:t>
      </w:r>
      <w:r w:rsidR="00380A44">
        <w:rPr>
          <w:rFonts w:ascii="Arial" w:hAnsi="Arial" w:cs="Arial"/>
          <w:b/>
          <w:sz w:val="24"/>
        </w:rPr>
        <w:t xml:space="preserve">, </w:t>
      </w:r>
      <w:r w:rsidR="00380A44" w:rsidRPr="00766B19">
        <w:rPr>
          <w:rFonts w:ascii="Arial" w:hAnsi="Arial" w:cs="Arial"/>
          <w:b/>
          <w:sz w:val="24"/>
        </w:rPr>
        <w:t>202</w:t>
      </w:r>
      <w:r w:rsidR="00380A44">
        <w:rPr>
          <w:rFonts w:ascii="Arial" w:hAnsi="Arial" w:cs="Arial"/>
          <w:b/>
          <w:sz w:val="24"/>
        </w:rPr>
        <w:t>4</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E96C56" w:rsidRDefault="005E0013" w:rsidP="000F7ECB">
      <w:pPr>
        <w:spacing w:after="60"/>
        <w:ind w:left="1985" w:hanging="1985"/>
        <w:rPr>
          <w:rFonts w:ascii="Arial" w:hAnsi="Arial" w:cs="Arial"/>
          <w:b/>
        </w:rPr>
      </w:pPr>
    </w:p>
    <w:p w14:paraId="157BD185" w14:textId="191A1316" w:rsidR="005E0013" w:rsidRPr="00E96C56" w:rsidRDefault="005E0013" w:rsidP="00BF0D44">
      <w:pPr>
        <w:spacing w:after="60"/>
        <w:ind w:left="1985" w:hanging="1985"/>
        <w:rPr>
          <w:rFonts w:ascii="Arial" w:hAnsi="Arial" w:cs="Arial"/>
          <w:b/>
        </w:rPr>
      </w:pPr>
      <w:r w:rsidRPr="00E96C56">
        <w:rPr>
          <w:rFonts w:ascii="Arial" w:hAnsi="Arial" w:cs="Arial"/>
          <w:b/>
        </w:rPr>
        <w:t>Title:</w:t>
      </w:r>
      <w:r w:rsidRPr="00E96C56">
        <w:rPr>
          <w:rFonts w:ascii="Arial" w:hAnsi="Arial" w:cs="Arial"/>
          <w:b/>
        </w:rPr>
        <w:tab/>
      </w:r>
      <w:r w:rsidR="00BF0D44" w:rsidRPr="004E2E76">
        <w:rPr>
          <w:rFonts w:ascii="Arial" w:hAnsi="Arial" w:cs="Arial"/>
          <w:b/>
        </w:rPr>
        <w:t>MPR applicability for FR1 intra-band UL CA</w:t>
      </w:r>
    </w:p>
    <w:p w14:paraId="73CE2741" w14:textId="47B72466"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46B15">
        <w:rPr>
          <w:rFonts w:ascii="Arial" w:hAnsi="Arial" w:cs="Arial"/>
          <w:b/>
        </w:rPr>
        <w:t>6.1.1.2.2</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845EB8F" w14:textId="59E41420" w:rsidR="00E429C7" w:rsidRPr="00313B11" w:rsidRDefault="00E429C7" w:rsidP="00E429C7">
      <w:r>
        <w:t>In RAN</w:t>
      </w:r>
      <w:r w:rsidR="00114B9B">
        <w:t>4#11</w:t>
      </w:r>
      <w:r w:rsidR="00144800">
        <w:t>2</w:t>
      </w:r>
      <w:r w:rsidR="00114B9B">
        <w:t xml:space="preserve"> there was</w:t>
      </w:r>
      <w:r w:rsidR="00144800">
        <w:t xml:space="preserve"> much</w:t>
      </w:r>
      <w:r w:rsidR="00114B9B">
        <w:t xml:space="preserve"> discussion on </w:t>
      </w:r>
      <w:r w:rsidR="00E60DEC">
        <w:t>which MPR tables apply f</w:t>
      </w:r>
      <w:r w:rsidR="00093E12">
        <w:t>or FR1 intra-band ULCA when</w:t>
      </w:r>
      <w:r w:rsidR="00E60DEC">
        <w:t xml:space="preserve"> intra-band contiguous UL CA is configured but only 1 CC is activated.</w:t>
      </w:r>
      <w:r w:rsidR="00B309E6">
        <w:t xml:space="preserve"> In this paper we further present our views on this topic. </w:t>
      </w:r>
      <w:r w:rsidR="00093E12">
        <w:t xml:space="preserve"> </w:t>
      </w:r>
      <w:r w:rsidR="001408DD">
        <w:t xml:space="preserve"> </w:t>
      </w:r>
    </w:p>
    <w:p w14:paraId="65A85401" w14:textId="71657EEE" w:rsidR="00962566" w:rsidRDefault="000A567D" w:rsidP="00FF29A1">
      <w:pPr>
        <w:pStyle w:val="Heading1"/>
        <w:jc w:val="both"/>
      </w:pPr>
      <w:r>
        <w:t xml:space="preserve">2. </w:t>
      </w:r>
      <w:r>
        <w:tab/>
      </w:r>
      <w:r w:rsidR="002A1C01">
        <w:t>Discussion</w:t>
      </w:r>
    </w:p>
    <w:p w14:paraId="6D009B25" w14:textId="5119FEAF" w:rsidR="00BF7E7F" w:rsidRDefault="000B0AD1" w:rsidP="001348A3">
      <w:r>
        <w:t>In RAN4#</w:t>
      </w:r>
      <w:r w:rsidR="007324D6">
        <w:t>1</w:t>
      </w:r>
      <w:r w:rsidR="00144800">
        <w:t>12</w:t>
      </w:r>
      <w:r w:rsidR="007324D6">
        <w:t xml:space="preserve"> a</w:t>
      </w:r>
      <w:r>
        <w:t xml:space="preserve"> </w:t>
      </w:r>
      <w:r w:rsidR="00BD3CA3">
        <w:t>W</w:t>
      </w:r>
      <w:r w:rsidR="00D07EA8">
        <w:t>F</w:t>
      </w:r>
      <w:r w:rsidR="00BD3CA3">
        <w:t xml:space="preserve"> </w:t>
      </w:r>
      <w:r w:rsidR="00BE23BA">
        <w:t xml:space="preserve">was </w:t>
      </w:r>
      <w:r>
        <w:t xml:space="preserve">created </w:t>
      </w:r>
      <w:r w:rsidR="00EC4219">
        <w:t>to further discuss most issues related to intra-band contiguous and non-contiguous CA with a single cell activated</w:t>
      </w:r>
      <w:r>
        <w:t xml:space="preserve"> [1</w:t>
      </w:r>
      <w:r w:rsidR="00B32FB9">
        <w:t>].</w:t>
      </w:r>
      <w:r w:rsidR="00B32FB9">
        <w:rPr>
          <w:rFonts w:eastAsia="Times New Roman"/>
          <w:szCs w:val="24"/>
          <w:lang w:eastAsia="zh-CN"/>
        </w:rPr>
        <w:t xml:space="preserve"> It</w:t>
      </w:r>
      <w:r w:rsidR="00C15A81" w:rsidRPr="00BB1827">
        <w:rPr>
          <w:rFonts w:eastAsia="Times New Roman"/>
          <w:szCs w:val="24"/>
          <w:lang w:eastAsia="zh-CN"/>
        </w:rPr>
        <w:t xml:space="preserve"> was </w:t>
      </w:r>
      <w:r w:rsidR="003F7862">
        <w:rPr>
          <w:rFonts w:eastAsia="Times New Roman"/>
          <w:szCs w:val="24"/>
          <w:lang w:eastAsia="zh-CN"/>
        </w:rPr>
        <w:t>discussed</w:t>
      </w:r>
      <w:r w:rsidR="00C15A81" w:rsidRPr="00BB1827">
        <w:rPr>
          <w:rFonts w:eastAsia="Times New Roman"/>
          <w:szCs w:val="24"/>
          <w:lang w:eastAsia="zh-CN"/>
        </w:rPr>
        <w:t xml:space="preserve"> that for </w:t>
      </w:r>
      <w:r w:rsidR="006C292C">
        <w:t>intra-band contiguous UL CA if only 1 CC is activated then for PC3 and PC2 scenarios the single CC MPR tables should apply.</w:t>
      </w:r>
      <w:r w:rsidR="005834F1">
        <w:t xml:space="preserve"> This issue could not be </w:t>
      </w:r>
      <w:r w:rsidR="00605097">
        <w:t xml:space="preserve">fully </w:t>
      </w:r>
      <w:r w:rsidR="005834F1">
        <w:t>resolved at the last meeting and was left for further discussion.</w:t>
      </w:r>
      <w:r w:rsidR="00BB1827">
        <w:t xml:space="preserve"> </w:t>
      </w:r>
      <w:r w:rsidR="00BA525B">
        <w:t>We see no reason why the single CC MPR tables cannot be used in the above scenarios. The single CC MPR tables have lower MPR values compared to the intra-band contiguous UL CA. The use of the single CC MPR values enable</w:t>
      </w:r>
      <w:r w:rsidR="00605097">
        <w:t>s</w:t>
      </w:r>
      <w:r w:rsidR="00BA525B">
        <w:t xml:space="preserve"> the UL to transmit more power there by increasing its throughput.</w:t>
      </w:r>
      <w:r w:rsidR="003D44FD">
        <w:t xml:space="preserve"> </w:t>
      </w:r>
      <w:r w:rsidR="002804A3">
        <w:t>The current single CC</w:t>
      </w:r>
      <w:r w:rsidR="003D44FD">
        <w:t xml:space="preserve"> MPR tables 6.2.2-1, 6,2D.</w:t>
      </w:r>
      <w:r w:rsidR="00807364">
        <w:t xml:space="preserve">2-1 and </w:t>
      </w:r>
      <w:r w:rsidR="00C609F9">
        <w:t>6.2.2-2</w:t>
      </w:r>
      <w:r w:rsidR="003778F0">
        <w:t xml:space="preserve"> </w:t>
      </w:r>
      <w:r w:rsidR="002804A3">
        <w:t>contain</w:t>
      </w:r>
      <w:r w:rsidR="003778F0">
        <w:t xml:space="preserve"> the following note</w:t>
      </w:r>
      <w:r w:rsidR="00E10703">
        <w:t>:</w:t>
      </w:r>
    </w:p>
    <w:p w14:paraId="167AECF2" w14:textId="77777777" w:rsidR="006C020B" w:rsidRPr="00235046" w:rsidRDefault="006C020B" w:rsidP="006C020B">
      <w:pPr>
        <w:pStyle w:val="ListParagraph"/>
        <w:numPr>
          <w:ilvl w:val="0"/>
          <w:numId w:val="3"/>
        </w:numPr>
        <w:spacing w:after="120"/>
        <w:textAlignment w:val="baseline"/>
        <w:rPr>
          <w:rFonts w:ascii="Times New Roman" w:eastAsiaTheme="minorEastAsia" w:hAnsi="Times New Roman"/>
          <w:b/>
          <w:bCs/>
        </w:rPr>
      </w:pPr>
      <w:r w:rsidRPr="00235046">
        <w:rPr>
          <w:rFonts w:ascii="Times New Roman" w:eastAsiaTheme="minorEastAsia" w:hAnsi="Times New Roman"/>
          <w:b/>
          <w:bCs/>
        </w:rPr>
        <w:t>Applicable for a UE indicating support for UE capability [powerBoostRel18] or [powerBoostRel18TS] and if the IE [powerBoostPi2BPSKRel18] is set to 1. The reference power is increased by [ΔPPowerBoost - ΔPPowerClass]</w:t>
      </w:r>
    </w:p>
    <w:p w14:paraId="45FAEAF6" w14:textId="04E0B0B2" w:rsidR="00846C28" w:rsidRDefault="006C020B" w:rsidP="006C020B">
      <w:pPr>
        <w:overflowPunct w:val="0"/>
        <w:autoSpaceDE w:val="0"/>
        <w:autoSpaceDN w:val="0"/>
        <w:adjustRightInd w:val="0"/>
        <w:spacing w:after="120"/>
        <w:textAlignment w:val="baseline"/>
      </w:pPr>
      <w:r>
        <w:t xml:space="preserve">This note indicates that the power boosting is possible for UE indicating </w:t>
      </w:r>
      <w:r w:rsidRPr="004F7A47">
        <w:t xml:space="preserve">[powerBoostRel18] or [powerBoostRel18TS] </w:t>
      </w:r>
      <w:r>
        <w:t>capability and the corresponding MPR tables shows that power boosting is possible for PC3 and PC2 QPSK and Pi/2 BPSK modulations. To ensure that power boosting is allowed the corresponding configured power requirements must be referenced along with each MPR table. Omission of the configured power requirements will leave the use of the power boosting feature ambiguous.</w:t>
      </w:r>
    </w:p>
    <w:p w14:paraId="4056B485" w14:textId="00A85A42" w:rsidR="00C66B22" w:rsidRDefault="00C66B22" w:rsidP="006C020B">
      <w:pPr>
        <w:overflowPunct w:val="0"/>
        <w:autoSpaceDE w:val="0"/>
        <w:autoSpaceDN w:val="0"/>
        <w:adjustRightInd w:val="0"/>
        <w:spacing w:after="120"/>
        <w:textAlignment w:val="baseline"/>
      </w:pPr>
      <w:r>
        <w:t xml:space="preserve">We see no reason why power boosting should not be allowed when only 1 CC is activated as it enhances UE performance.  Though the power boosting feature was developed for single CC we do not see why it should not be used for this scenario where only 1 CC is activated as the benefits of using </w:t>
      </w:r>
      <w:r w:rsidR="00AB5B68">
        <w:t>power boosting are</w:t>
      </w:r>
      <w:r>
        <w:t xml:space="preserve"> abundantly clear.</w:t>
      </w:r>
    </w:p>
    <w:p w14:paraId="4E3509B8" w14:textId="43CA44A6" w:rsidR="00F675D4" w:rsidRDefault="00846C28" w:rsidP="00C15A81">
      <w:pPr>
        <w:overflowPunct w:val="0"/>
        <w:autoSpaceDE w:val="0"/>
        <w:autoSpaceDN w:val="0"/>
        <w:adjustRightInd w:val="0"/>
        <w:spacing w:after="120"/>
        <w:textAlignment w:val="baseline"/>
        <w:rPr>
          <w:b/>
          <w:bCs/>
        </w:rPr>
      </w:pPr>
      <w:r w:rsidRPr="00B01A4F">
        <w:rPr>
          <w:b/>
          <w:bCs/>
        </w:rPr>
        <w:t>Observation</w:t>
      </w:r>
      <w:r w:rsidR="00217E95">
        <w:rPr>
          <w:b/>
          <w:bCs/>
        </w:rPr>
        <w:t>#1</w:t>
      </w:r>
      <w:r w:rsidRPr="00B01A4F">
        <w:rPr>
          <w:b/>
          <w:bCs/>
        </w:rPr>
        <w:t>: Boosting enhances UE performance</w:t>
      </w:r>
      <w:r w:rsidR="00B01A4F" w:rsidRPr="00B01A4F">
        <w:rPr>
          <w:b/>
          <w:bCs/>
        </w:rPr>
        <w:t xml:space="preserve"> and though it was developed for single CC</w:t>
      </w:r>
      <w:r w:rsidR="009A0226">
        <w:rPr>
          <w:b/>
          <w:bCs/>
        </w:rPr>
        <w:t xml:space="preserve"> </w:t>
      </w:r>
      <w:r w:rsidR="00631F8E">
        <w:rPr>
          <w:b/>
          <w:bCs/>
        </w:rPr>
        <w:t>there is</w:t>
      </w:r>
      <w:r w:rsidR="00B01A4F" w:rsidRPr="00B01A4F">
        <w:rPr>
          <w:b/>
          <w:bCs/>
        </w:rPr>
        <w:t xml:space="preserve"> no reason why it cannot be used when only 1 CC is activated.</w:t>
      </w:r>
    </w:p>
    <w:p w14:paraId="01DBF24F" w14:textId="1CED2F28" w:rsidR="005908A2" w:rsidRDefault="005908A2" w:rsidP="005908A2">
      <w:pPr>
        <w:overflowPunct w:val="0"/>
        <w:autoSpaceDE w:val="0"/>
        <w:autoSpaceDN w:val="0"/>
        <w:adjustRightInd w:val="0"/>
        <w:spacing w:after="120"/>
        <w:textAlignment w:val="baseline"/>
      </w:pPr>
      <w:r>
        <w:t xml:space="preserve">It has been stated that the boost powers agreed in the standard are relatively small, however we think that any </w:t>
      </w:r>
      <w:r w:rsidR="003A68AA">
        <w:t xml:space="preserve">amount of </w:t>
      </w:r>
      <w:r>
        <w:t xml:space="preserve">power boost is worth exploiting as any extra </w:t>
      </w:r>
      <w:r w:rsidR="00353582">
        <w:t xml:space="preserve">UL </w:t>
      </w:r>
      <w:r>
        <w:t>power is beneficial to UE performance.</w:t>
      </w:r>
    </w:p>
    <w:p w14:paraId="72255A1E" w14:textId="68F6FF54" w:rsidR="003A68AA" w:rsidRPr="003A68AA" w:rsidRDefault="003A68AA" w:rsidP="005908A2">
      <w:pPr>
        <w:overflowPunct w:val="0"/>
        <w:autoSpaceDE w:val="0"/>
        <w:autoSpaceDN w:val="0"/>
        <w:adjustRightInd w:val="0"/>
        <w:spacing w:after="120"/>
        <w:textAlignment w:val="baseline"/>
        <w:rPr>
          <w:b/>
          <w:bCs/>
        </w:rPr>
      </w:pPr>
      <w:r w:rsidRPr="003A68AA">
        <w:rPr>
          <w:b/>
          <w:bCs/>
        </w:rPr>
        <w:t>Observation#2: Any amount of power boost is beneficial to UE performance</w:t>
      </w:r>
    </w:p>
    <w:p w14:paraId="58A05526" w14:textId="0EDD5297" w:rsidR="00E3357E" w:rsidRDefault="00F47A0B" w:rsidP="00C15A81">
      <w:pPr>
        <w:overflowPunct w:val="0"/>
        <w:autoSpaceDE w:val="0"/>
        <w:autoSpaceDN w:val="0"/>
        <w:adjustRightInd w:val="0"/>
        <w:spacing w:after="120"/>
        <w:textAlignment w:val="baseline"/>
      </w:pPr>
      <w:r>
        <w:t>C</w:t>
      </w:r>
      <w:r w:rsidR="00F675D4" w:rsidRPr="00482D34">
        <w:t xml:space="preserve">ompanies </w:t>
      </w:r>
      <w:r>
        <w:t xml:space="preserve">that </w:t>
      </w:r>
      <w:r w:rsidR="00F675D4" w:rsidRPr="00482D34">
        <w:t xml:space="preserve">have </w:t>
      </w:r>
      <w:r w:rsidR="009939A8" w:rsidRPr="00482D34">
        <w:t>concerns</w:t>
      </w:r>
      <w:r w:rsidR="003A68AA">
        <w:t xml:space="preserve"> for</w:t>
      </w:r>
      <w:r w:rsidR="00DE1D00" w:rsidRPr="00482D34">
        <w:t xml:space="preserve"> </w:t>
      </w:r>
      <w:r w:rsidR="00F675D4" w:rsidRPr="00482D34">
        <w:t xml:space="preserve">allowing </w:t>
      </w:r>
      <w:r>
        <w:t xml:space="preserve">power </w:t>
      </w:r>
      <w:r w:rsidR="00F675D4" w:rsidRPr="00482D34">
        <w:t xml:space="preserve">boosting when 1 CC is </w:t>
      </w:r>
      <w:r w:rsidR="000C1E64" w:rsidRPr="00482D34">
        <w:t>activated</w:t>
      </w:r>
      <w:r w:rsidR="000C1E64">
        <w:t xml:space="preserve"> </w:t>
      </w:r>
      <w:r w:rsidR="000C1E64" w:rsidRPr="00482D34">
        <w:t>should</w:t>
      </w:r>
      <w:r w:rsidR="00F675D4" w:rsidRPr="00482D34">
        <w:t xml:space="preserve"> </w:t>
      </w:r>
      <w:r w:rsidR="00DE1D00" w:rsidRPr="00482D34">
        <w:t>bring reasons</w:t>
      </w:r>
      <w:r w:rsidR="007F290C">
        <w:t xml:space="preserve"> </w:t>
      </w:r>
      <w:r>
        <w:t>to justify their position</w:t>
      </w:r>
      <w:r w:rsidR="00C755A6">
        <w:t>.</w:t>
      </w:r>
    </w:p>
    <w:p w14:paraId="03A978C6" w14:textId="08782317" w:rsidR="00F61557" w:rsidRPr="005908A2" w:rsidRDefault="00F61557" w:rsidP="00C15A81">
      <w:pPr>
        <w:overflowPunct w:val="0"/>
        <w:autoSpaceDE w:val="0"/>
        <w:autoSpaceDN w:val="0"/>
        <w:adjustRightInd w:val="0"/>
        <w:spacing w:after="120"/>
        <w:textAlignment w:val="baseline"/>
        <w:rPr>
          <w:b/>
          <w:bCs/>
        </w:rPr>
      </w:pPr>
      <w:r w:rsidRPr="005908A2">
        <w:rPr>
          <w:b/>
          <w:bCs/>
        </w:rPr>
        <w:t xml:space="preserve">Proposal#1: </w:t>
      </w:r>
      <w:r w:rsidR="00F13BC0">
        <w:rPr>
          <w:b/>
          <w:bCs/>
        </w:rPr>
        <w:t>C</w:t>
      </w:r>
      <w:r w:rsidR="003C4AA3" w:rsidRPr="005908A2">
        <w:rPr>
          <w:b/>
          <w:bCs/>
        </w:rPr>
        <w:t xml:space="preserve">ompanies that do not want power boosting </w:t>
      </w:r>
      <w:r w:rsidR="008E5A85" w:rsidRPr="005908A2">
        <w:rPr>
          <w:b/>
          <w:bCs/>
        </w:rPr>
        <w:t xml:space="preserve">when 1 CC is activated should </w:t>
      </w:r>
      <w:r w:rsidR="003C4AA3" w:rsidRPr="005908A2">
        <w:rPr>
          <w:b/>
          <w:bCs/>
        </w:rPr>
        <w:t>j</w:t>
      </w:r>
      <w:r w:rsidR="00A33488" w:rsidRPr="005908A2">
        <w:rPr>
          <w:b/>
          <w:bCs/>
        </w:rPr>
        <w:t>ustify their reasons</w:t>
      </w:r>
    </w:p>
    <w:p w14:paraId="490837BB" w14:textId="65C65619" w:rsidR="0093218E" w:rsidRDefault="00DB23CB" w:rsidP="00C15A81">
      <w:pPr>
        <w:overflowPunct w:val="0"/>
        <w:autoSpaceDE w:val="0"/>
        <w:autoSpaceDN w:val="0"/>
        <w:adjustRightInd w:val="0"/>
        <w:spacing w:after="120"/>
        <w:textAlignment w:val="baseline"/>
      </w:pPr>
      <w:r>
        <w:t>W</w:t>
      </w:r>
      <w:r w:rsidR="00DE71B6">
        <w:t xml:space="preserve">e propose that the following </w:t>
      </w:r>
      <w:r w:rsidR="00026430">
        <w:t>be agreed</w:t>
      </w:r>
      <w:r w:rsidR="00CB53B8">
        <w:t>:</w:t>
      </w:r>
    </w:p>
    <w:p w14:paraId="2E9207BD" w14:textId="77777777" w:rsidR="00F1786F" w:rsidRDefault="00F1786F" w:rsidP="00C15A81">
      <w:pPr>
        <w:overflowPunct w:val="0"/>
        <w:autoSpaceDE w:val="0"/>
        <w:autoSpaceDN w:val="0"/>
        <w:adjustRightInd w:val="0"/>
        <w:spacing w:after="120"/>
        <w:textAlignment w:val="baseline"/>
      </w:pPr>
    </w:p>
    <w:p w14:paraId="26D24B5C" w14:textId="33459180" w:rsidR="00D431BD" w:rsidRDefault="00D431BD" w:rsidP="00D431BD">
      <w:pPr>
        <w:numPr>
          <w:ilvl w:val="0"/>
          <w:numId w:val="1"/>
        </w:numPr>
        <w:overflowPunct w:val="0"/>
        <w:autoSpaceDE w:val="0"/>
        <w:autoSpaceDN w:val="0"/>
        <w:adjustRightInd w:val="0"/>
        <w:textAlignment w:val="baseline"/>
        <w:rPr>
          <w:lang w:eastAsia="zh-CN"/>
        </w:rPr>
      </w:pPr>
      <w:r w:rsidRPr="004856F6">
        <w:rPr>
          <w:rFonts w:eastAsia="SimSun"/>
          <w:szCs w:val="24"/>
          <w:lang w:eastAsia="zh-CN"/>
        </w:rPr>
        <w:t xml:space="preserve">For PC3 and PC2 contiguous UL CA use the corresponding single CC MPR when only 1 CC is activated. </w:t>
      </w:r>
    </w:p>
    <w:p w14:paraId="059999BA" w14:textId="4322300A" w:rsidR="00CB53B8" w:rsidRPr="00CB53B8" w:rsidRDefault="00CB53B8" w:rsidP="00CB53B8">
      <w:pPr>
        <w:pStyle w:val="ListParagraph"/>
        <w:numPr>
          <w:ilvl w:val="1"/>
          <w:numId w:val="1"/>
        </w:numPr>
        <w:contextualSpacing w:val="0"/>
        <w:textAlignment w:val="baseline"/>
        <w:rPr>
          <w:rFonts w:ascii="Times New Roman" w:eastAsiaTheme="minorEastAsia" w:hAnsi="Times New Roman"/>
        </w:rPr>
      </w:pPr>
      <w:bookmarkStart w:id="2" w:name="_Hlk173764862"/>
      <w:r w:rsidRPr="00CB53B8">
        <w:rPr>
          <w:rFonts w:ascii="Times New Roman" w:eastAsiaTheme="minorEastAsia" w:hAnsi="Times New Roman"/>
        </w:rPr>
        <w:lastRenderedPageBreak/>
        <w:t xml:space="preserve">MPR defined in Table 6.2.2-1 </w:t>
      </w:r>
      <w:r w:rsidR="0022781D" w:rsidRPr="00CB53B8">
        <w:rPr>
          <w:rFonts w:ascii="Times New Roman" w:eastAsiaTheme="minorEastAsia" w:hAnsi="Times New Roman"/>
        </w:rPr>
        <w:t xml:space="preserve">along with </w:t>
      </w:r>
      <w:r w:rsidR="0022781D">
        <w:rPr>
          <w:rFonts w:ascii="Times New Roman" w:eastAsiaTheme="minorEastAsia" w:hAnsi="Times New Roman"/>
        </w:rPr>
        <w:t xml:space="preserve">the </w:t>
      </w:r>
      <w:r w:rsidR="0022781D" w:rsidRPr="00CB53B8">
        <w:rPr>
          <w:rFonts w:ascii="Times New Roman" w:eastAsiaTheme="minorEastAsia" w:hAnsi="Times New Roman"/>
        </w:rPr>
        <w:t>config</w:t>
      </w:r>
      <w:r w:rsidR="0022781D">
        <w:rPr>
          <w:rFonts w:ascii="Times New Roman" w:eastAsiaTheme="minorEastAsia" w:hAnsi="Times New Roman"/>
        </w:rPr>
        <w:t xml:space="preserve">ured </w:t>
      </w:r>
      <w:r w:rsidR="0022781D" w:rsidRPr="00CB53B8">
        <w:rPr>
          <w:rFonts w:ascii="Times New Roman" w:eastAsiaTheme="minorEastAsia" w:hAnsi="Times New Roman"/>
        </w:rPr>
        <w:t xml:space="preserve">Tx </w:t>
      </w:r>
      <w:r w:rsidR="0022781D">
        <w:rPr>
          <w:rFonts w:ascii="Times New Roman" w:eastAsiaTheme="minorEastAsia" w:hAnsi="Times New Roman"/>
        </w:rPr>
        <w:t xml:space="preserve">power </w:t>
      </w:r>
      <w:r w:rsidR="0022781D" w:rsidRPr="00CB53B8">
        <w:rPr>
          <w:rFonts w:ascii="Times New Roman" w:eastAsiaTheme="minorEastAsia" w:hAnsi="Times New Roman"/>
        </w:rPr>
        <w:t xml:space="preserve">requirements </w:t>
      </w:r>
      <w:r w:rsidR="0022781D">
        <w:rPr>
          <w:rFonts w:ascii="Times New Roman" w:eastAsiaTheme="minorEastAsia" w:hAnsi="Times New Roman"/>
        </w:rPr>
        <w:t>stated in section</w:t>
      </w:r>
      <w:r w:rsidR="0022781D" w:rsidRPr="00CB53B8">
        <w:rPr>
          <w:rFonts w:ascii="Times New Roman" w:eastAsiaTheme="minorEastAsia" w:hAnsi="Times New Roman"/>
        </w:rPr>
        <w:t xml:space="preserve"> 6.2.4</w:t>
      </w:r>
      <w:r w:rsidR="0022781D">
        <w:rPr>
          <w:rFonts w:ascii="Times New Roman" w:eastAsiaTheme="minorEastAsia" w:hAnsi="Times New Roman"/>
        </w:rPr>
        <w:t xml:space="preserve"> </w:t>
      </w:r>
      <w:r w:rsidRPr="00CB53B8">
        <w:rPr>
          <w:rFonts w:ascii="Times New Roman" w:eastAsiaTheme="minorEastAsia" w:hAnsi="Times New Roman"/>
        </w:rPr>
        <w:t xml:space="preserve">applies </w:t>
      </w:r>
      <w:r w:rsidR="005A0A5D">
        <w:rPr>
          <w:rFonts w:ascii="Times New Roman" w:eastAsiaTheme="minorEastAsia" w:hAnsi="Times New Roman"/>
        </w:rPr>
        <w:t>to</w:t>
      </w:r>
      <w:r w:rsidRPr="00CB53B8">
        <w:rPr>
          <w:rFonts w:ascii="Times New Roman" w:eastAsiaTheme="minorEastAsia" w:hAnsi="Times New Roman"/>
        </w:rPr>
        <w:t xml:space="preserve"> UE power class 3 CA bandwidth classes B and C, </w:t>
      </w:r>
    </w:p>
    <w:p w14:paraId="70AB1DEE" w14:textId="28BC010C" w:rsidR="00CB53B8" w:rsidRPr="00CB53B8" w:rsidRDefault="00CB53B8" w:rsidP="00CB53B8">
      <w:pPr>
        <w:pStyle w:val="ListParagraph"/>
        <w:numPr>
          <w:ilvl w:val="1"/>
          <w:numId w:val="1"/>
        </w:numPr>
        <w:contextualSpacing w:val="0"/>
        <w:textAlignment w:val="baseline"/>
        <w:rPr>
          <w:rFonts w:ascii="Times New Roman" w:eastAsiaTheme="minorEastAsia" w:hAnsi="Times New Roman"/>
        </w:rPr>
      </w:pPr>
      <w:r w:rsidRPr="00CB53B8">
        <w:rPr>
          <w:rFonts w:ascii="Times New Roman" w:eastAsiaTheme="minorEastAsia" w:hAnsi="Times New Roman"/>
        </w:rPr>
        <w:t xml:space="preserve">MPR defined in Table 6.2D.2-1 </w:t>
      </w:r>
      <w:r w:rsidR="0022781D" w:rsidRPr="00CB53B8">
        <w:rPr>
          <w:rFonts w:ascii="Times New Roman" w:eastAsiaTheme="minorEastAsia" w:hAnsi="Times New Roman"/>
        </w:rPr>
        <w:t xml:space="preserve">along with </w:t>
      </w:r>
      <w:r w:rsidR="0022781D">
        <w:rPr>
          <w:rFonts w:ascii="Times New Roman" w:eastAsiaTheme="minorEastAsia" w:hAnsi="Times New Roman"/>
        </w:rPr>
        <w:t>the</w:t>
      </w:r>
      <w:r w:rsidR="00761B18">
        <w:rPr>
          <w:rFonts w:ascii="Times New Roman" w:eastAsiaTheme="minorEastAsia" w:hAnsi="Times New Roman"/>
        </w:rPr>
        <w:t xml:space="preserve"> </w:t>
      </w:r>
      <w:r w:rsidR="0022781D" w:rsidRPr="00CB53B8">
        <w:rPr>
          <w:rFonts w:ascii="Times New Roman" w:eastAsiaTheme="minorEastAsia" w:hAnsi="Times New Roman"/>
        </w:rPr>
        <w:t>config</w:t>
      </w:r>
      <w:r w:rsidR="0022781D">
        <w:rPr>
          <w:rFonts w:ascii="Times New Roman" w:eastAsiaTheme="minorEastAsia" w:hAnsi="Times New Roman"/>
        </w:rPr>
        <w:t xml:space="preserve">ured </w:t>
      </w:r>
      <w:r w:rsidR="0022781D" w:rsidRPr="00CB53B8">
        <w:rPr>
          <w:rFonts w:ascii="Times New Roman" w:eastAsiaTheme="minorEastAsia" w:hAnsi="Times New Roman"/>
        </w:rPr>
        <w:t xml:space="preserve">Tx </w:t>
      </w:r>
      <w:r w:rsidR="0022781D">
        <w:rPr>
          <w:rFonts w:ascii="Times New Roman" w:eastAsiaTheme="minorEastAsia" w:hAnsi="Times New Roman"/>
        </w:rPr>
        <w:t xml:space="preserve">power </w:t>
      </w:r>
      <w:r w:rsidR="0022781D" w:rsidRPr="00CB53B8">
        <w:rPr>
          <w:rFonts w:ascii="Times New Roman" w:eastAsiaTheme="minorEastAsia" w:hAnsi="Times New Roman"/>
        </w:rPr>
        <w:t xml:space="preserve">requirements </w:t>
      </w:r>
      <w:r w:rsidR="0022781D">
        <w:rPr>
          <w:rFonts w:ascii="Times New Roman" w:eastAsiaTheme="minorEastAsia" w:hAnsi="Times New Roman"/>
        </w:rPr>
        <w:t>stated in section</w:t>
      </w:r>
      <w:r w:rsidR="0022781D" w:rsidRPr="00CB53B8">
        <w:rPr>
          <w:rFonts w:ascii="Times New Roman" w:eastAsiaTheme="minorEastAsia" w:hAnsi="Times New Roman"/>
        </w:rPr>
        <w:t xml:space="preserve"> 6.2D.4  </w:t>
      </w:r>
      <w:r w:rsidR="0022781D">
        <w:rPr>
          <w:rFonts w:ascii="Times New Roman" w:eastAsiaTheme="minorEastAsia" w:hAnsi="Times New Roman"/>
        </w:rPr>
        <w:t xml:space="preserve"> </w:t>
      </w:r>
      <w:r w:rsidRPr="00CB53B8">
        <w:rPr>
          <w:rFonts w:ascii="Times New Roman" w:eastAsiaTheme="minorEastAsia" w:hAnsi="Times New Roman"/>
        </w:rPr>
        <w:t xml:space="preserve">applies </w:t>
      </w:r>
      <w:r w:rsidR="005A0A5D">
        <w:rPr>
          <w:rFonts w:ascii="Times New Roman" w:eastAsiaTheme="minorEastAsia" w:hAnsi="Times New Roman"/>
        </w:rPr>
        <w:t>to</w:t>
      </w:r>
      <w:r w:rsidRPr="00CB53B8">
        <w:rPr>
          <w:rFonts w:ascii="Times New Roman" w:eastAsiaTheme="minorEastAsia" w:hAnsi="Times New Roman"/>
        </w:rPr>
        <w:t xml:space="preserve"> power class 2 CA bandwidth classes B and C when TxD capability is indicated</w:t>
      </w:r>
      <w:r w:rsidR="002D58ED">
        <w:rPr>
          <w:rFonts w:ascii="Times New Roman" w:eastAsiaTheme="minorEastAsia" w:hAnsi="Times New Roman"/>
        </w:rPr>
        <w:t>.</w:t>
      </w:r>
    </w:p>
    <w:p w14:paraId="6FA8177D" w14:textId="408C4479" w:rsidR="00CB53B8" w:rsidRPr="00CB53B8" w:rsidRDefault="00CB53B8" w:rsidP="00CB53B8">
      <w:pPr>
        <w:pStyle w:val="ListParagraph"/>
        <w:numPr>
          <w:ilvl w:val="1"/>
          <w:numId w:val="1"/>
        </w:numPr>
        <w:contextualSpacing w:val="0"/>
        <w:textAlignment w:val="baseline"/>
        <w:rPr>
          <w:rFonts w:ascii="Times New Roman" w:eastAsiaTheme="minorEastAsia" w:hAnsi="Times New Roman"/>
        </w:rPr>
      </w:pPr>
      <w:r w:rsidRPr="00CB53B8">
        <w:rPr>
          <w:rFonts w:ascii="Times New Roman" w:eastAsiaTheme="minorEastAsia" w:hAnsi="Times New Roman"/>
        </w:rPr>
        <w:t xml:space="preserve">MPR defined in Table 6.2.2-2 </w:t>
      </w:r>
      <w:r w:rsidR="0022781D" w:rsidRPr="00CB53B8">
        <w:rPr>
          <w:rFonts w:ascii="Times New Roman" w:eastAsiaTheme="minorEastAsia" w:hAnsi="Times New Roman"/>
        </w:rPr>
        <w:t xml:space="preserve">along with </w:t>
      </w:r>
      <w:r w:rsidR="0022781D">
        <w:rPr>
          <w:rFonts w:ascii="Times New Roman" w:eastAsiaTheme="minorEastAsia" w:hAnsi="Times New Roman"/>
        </w:rPr>
        <w:t>the c</w:t>
      </w:r>
      <w:r w:rsidR="0022781D" w:rsidRPr="00CB53B8">
        <w:rPr>
          <w:rFonts w:ascii="Times New Roman" w:eastAsiaTheme="minorEastAsia" w:hAnsi="Times New Roman"/>
        </w:rPr>
        <w:t>onfig</w:t>
      </w:r>
      <w:r w:rsidR="0022781D">
        <w:rPr>
          <w:rFonts w:ascii="Times New Roman" w:eastAsiaTheme="minorEastAsia" w:hAnsi="Times New Roman"/>
        </w:rPr>
        <w:t xml:space="preserve">ured </w:t>
      </w:r>
      <w:r w:rsidR="0022781D" w:rsidRPr="00CB53B8">
        <w:rPr>
          <w:rFonts w:ascii="Times New Roman" w:eastAsiaTheme="minorEastAsia" w:hAnsi="Times New Roman"/>
        </w:rPr>
        <w:t xml:space="preserve">Tx </w:t>
      </w:r>
      <w:r w:rsidR="0022781D">
        <w:rPr>
          <w:rFonts w:ascii="Times New Roman" w:eastAsiaTheme="minorEastAsia" w:hAnsi="Times New Roman"/>
        </w:rPr>
        <w:t xml:space="preserve">power </w:t>
      </w:r>
      <w:r w:rsidR="0022781D" w:rsidRPr="00CB53B8">
        <w:rPr>
          <w:rFonts w:ascii="Times New Roman" w:eastAsiaTheme="minorEastAsia" w:hAnsi="Times New Roman"/>
        </w:rPr>
        <w:t xml:space="preserve">requirements </w:t>
      </w:r>
      <w:r w:rsidR="0022781D">
        <w:rPr>
          <w:rFonts w:ascii="Times New Roman" w:eastAsiaTheme="minorEastAsia" w:hAnsi="Times New Roman"/>
        </w:rPr>
        <w:t>stated in section</w:t>
      </w:r>
      <w:r w:rsidR="0022781D" w:rsidRPr="00CB53B8">
        <w:rPr>
          <w:rFonts w:ascii="Times New Roman" w:eastAsiaTheme="minorEastAsia" w:hAnsi="Times New Roman"/>
        </w:rPr>
        <w:t xml:space="preserve"> 6.2.4 </w:t>
      </w:r>
      <w:r w:rsidRPr="00CB53B8">
        <w:rPr>
          <w:rFonts w:ascii="Times New Roman" w:eastAsiaTheme="minorEastAsia" w:hAnsi="Times New Roman"/>
        </w:rPr>
        <w:t>applies for power class 2 CA bandwidth classes B and C when TxD capability is absent</w:t>
      </w:r>
      <w:r w:rsidR="002D58ED">
        <w:rPr>
          <w:rFonts w:ascii="Times New Roman" w:eastAsiaTheme="minorEastAsia" w:hAnsi="Times New Roman"/>
        </w:rPr>
        <w:t>.</w:t>
      </w:r>
      <w:r w:rsidRPr="00CB53B8">
        <w:rPr>
          <w:rFonts w:ascii="Times New Roman" w:eastAsiaTheme="minorEastAsia" w:hAnsi="Times New Roman"/>
        </w:rPr>
        <w:t xml:space="preserve"> </w:t>
      </w:r>
    </w:p>
    <w:bookmarkEnd w:id="2"/>
    <w:p w14:paraId="7BAA29E8" w14:textId="6453F09B" w:rsidR="0093218E" w:rsidRPr="00D431BD" w:rsidRDefault="00F1786F" w:rsidP="00C15A81">
      <w:pPr>
        <w:overflowPunct w:val="0"/>
        <w:autoSpaceDE w:val="0"/>
        <w:autoSpaceDN w:val="0"/>
        <w:adjustRightInd w:val="0"/>
        <w:spacing w:after="120"/>
        <w:textAlignment w:val="baseline"/>
        <w:rPr>
          <w:b/>
          <w:bCs/>
        </w:rPr>
      </w:pPr>
      <w:r w:rsidRPr="00D431BD">
        <w:rPr>
          <w:b/>
          <w:bCs/>
        </w:rPr>
        <w:t>Proposal</w:t>
      </w:r>
      <w:r w:rsidR="00F47A0B">
        <w:rPr>
          <w:b/>
          <w:bCs/>
        </w:rPr>
        <w:t>#2</w:t>
      </w:r>
      <w:r w:rsidRPr="00D431BD">
        <w:rPr>
          <w:b/>
          <w:bCs/>
        </w:rPr>
        <w:t xml:space="preserve">: </w:t>
      </w:r>
      <w:r w:rsidR="00D431BD" w:rsidRPr="004856F6">
        <w:rPr>
          <w:rFonts w:eastAsia="SimSun"/>
          <w:b/>
          <w:bCs/>
          <w:szCs w:val="24"/>
          <w:lang w:eastAsia="zh-CN"/>
        </w:rPr>
        <w:t>For PC3 and PC2 contiguous UL CA use the corresponding single CC MPR when only 1 CC is activated</w:t>
      </w:r>
      <w:r w:rsidR="00D431BD" w:rsidRPr="00D431BD">
        <w:rPr>
          <w:rFonts w:eastAsia="SimSun"/>
          <w:b/>
          <w:bCs/>
          <w:szCs w:val="24"/>
          <w:lang w:eastAsia="zh-CN"/>
        </w:rPr>
        <w:t xml:space="preserve"> and refer to the following MPR </w:t>
      </w:r>
      <w:r w:rsidR="00755E60">
        <w:rPr>
          <w:rFonts w:eastAsia="SimSun"/>
          <w:b/>
          <w:bCs/>
          <w:szCs w:val="24"/>
          <w:lang w:eastAsia="zh-CN"/>
        </w:rPr>
        <w:t xml:space="preserve">tables </w:t>
      </w:r>
      <w:r w:rsidR="00D431BD" w:rsidRPr="00D431BD">
        <w:rPr>
          <w:rFonts w:eastAsia="SimSun"/>
          <w:b/>
          <w:bCs/>
          <w:szCs w:val="24"/>
          <w:lang w:eastAsia="zh-CN"/>
        </w:rPr>
        <w:t>and corresponding configured Tx power requirements.</w:t>
      </w:r>
    </w:p>
    <w:p w14:paraId="2E98C9F4" w14:textId="77777777" w:rsidR="007C6874" w:rsidRPr="007C6874" w:rsidRDefault="007C6874" w:rsidP="007C6874">
      <w:pPr>
        <w:pStyle w:val="ListParagraph"/>
        <w:numPr>
          <w:ilvl w:val="1"/>
          <w:numId w:val="1"/>
        </w:numPr>
        <w:contextualSpacing w:val="0"/>
        <w:textAlignment w:val="baseline"/>
        <w:rPr>
          <w:rFonts w:ascii="Times New Roman" w:eastAsiaTheme="minorEastAsia" w:hAnsi="Times New Roman"/>
          <w:b/>
          <w:bCs/>
        </w:rPr>
      </w:pPr>
      <w:r w:rsidRPr="007C6874">
        <w:rPr>
          <w:rFonts w:ascii="Times New Roman" w:eastAsiaTheme="minorEastAsia" w:hAnsi="Times New Roman"/>
          <w:b/>
          <w:bCs/>
        </w:rPr>
        <w:t xml:space="preserve">MPR defined in Table 6.2.2-1 along with the configured Tx power requirements stated in section 6.2.4 applies to UE power class 3 CA bandwidth classes B and C, </w:t>
      </w:r>
    </w:p>
    <w:p w14:paraId="36886F08" w14:textId="4F80E84C" w:rsidR="007C6874" w:rsidRPr="007C6874" w:rsidRDefault="007C6874" w:rsidP="007C6874">
      <w:pPr>
        <w:pStyle w:val="ListParagraph"/>
        <w:numPr>
          <w:ilvl w:val="1"/>
          <w:numId w:val="1"/>
        </w:numPr>
        <w:contextualSpacing w:val="0"/>
        <w:textAlignment w:val="baseline"/>
        <w:rPr>
          <w:rFonts w:ascii="Times New Roman" w:eastAsiaTheme="minorEastAsia" w:hAnsi="Times New Roman"/>
          <w:b/>
          <w:bCs/>
        </w:rPr>
      </w:pPr>
      <w:r w:rsidRPr="007C6874">
        <w:rPr>
          <w:rFonts w:ascii="Times New Roman" w:eastAsiaTheme="minorEastAsia" w:hAnsi="Times New Roman"/>
          <w:b/>
          <w:bCs/>
        </w:rPr>
        <w:t>MPR defined in Table 6.2D.2-1 along with the</w:t>
      </w:r>
      <w:r w:rsidR="00761B18">
        <w:rPr>
          <w:rFonts w:ascii="Times New Roman" w:eastAsiaTheme="minorEastAsia" w:hAnsi="Times New Roman"/>
          <w:b/>
          <w:bCs/>
        </w:rPr>
        <w:t xml:space="preserve"> </w:t>
      </w:r>
      <w:r w:rsidRPr="007C6874">
        <w:rPr>
          <w:rFonts w:ascii="Times New Roman" w:eastAsiaTheme="minorEastAsia" w:hAnsi="Times New Roman"/>
          <w:b/>
          <w:bCs/>
        </w:rPr>
        <w:t>configured Tx power requirements stated in section 6.2D.4   applies to power class 2 CA bandwidth classes B and C when TxD capability is indicated.</w:t>
      </w:r>
    </w:p>
    <w:p w14:paraId="2B185422" w14:textId="77777777" w:rsidR="007C6874" w:rsidRPr="007C6874" w:rsidRDefault="007C6874" w:rsidP="007C6874">
      <w:pPr>
        <w:pStyle w:val="ListParagraph"/>
        <w:numPr>
          <w:ilvl w:val="1"/>
          <w:numId w:val="1"/>
        </w:numPr>
        <w:contextualSpacing w:val="0"/>
        <w:textAlignment w:val="baseline"/>
        <w:rPr>
          <w:rFonts w:ascii="Times New Roman" w:eastAsiaTheme="minorEastAsia" w:hAnsi="Times New Roman"/>
          <w:b/>
          <w:bCs/>
        </w:rPr>
      </w:pPr>
      <w:r w:rsidRPr="007C6874">
        <w:rPr>
          <w:rFonts w:ascii="Times New Roman" w:eastAsiaTheme="minorEastAsia" w:hAnsi="Times New Roman"/>
          <w:b/>
          <w:bCs/>
        </w:rPr>
        <w:t xml:space="preserve">MPR defined in Table 6.2.2-2 along with the configured Tx power requirements stated in section 6.2.4 applies for power class 2 CA bandwidth classes B and C when TxD capability is absent. </w:t>
      </w:r>
    </w:p>
    <w:p w14:paraId="63F1FA76" w14:textId="362152E5" w:rsidR="0093218E" w:rsidRPr="0047391B" w:rsidRDefault="00B32891" w:rsidP="00C15A81">
      <w:pPr>
        <w:overflowPunct w:val="0"/>
        <w:autoSpaceDE w:val="0"/>
        <w:autoSpaceDN w:val="0"/>
        <w:adjustRightInd w:val="0"/>
        <w:spacing w:after="120"/>
        <w:textAlignment w:val="baseline"/>
        <w:rPr>
          <w:rFonts w:eastAsia="Times New Roman"/>
          <w:szCs w:val="24"/>
          <w:lang w:eastAsia="zh-CN"/>
        </w:rPr>
      </w:pPr>
      <w:r w:rsidRPr="0047391B">
        <w:rPr>
          <w:rFonts w:eastAsia="Times New Roman"/>
          <w:szCs w:val="24"/>
          <w:lang w:eastAsia="zh-CN"/>
        </w:rPr>
        <w:t xml:space="preserve">We believe that though only 1 CC is activated the aggregated BW for CA should be used for evaluating metrics such as </w:t>
      </w:r>
      <w:r w:rsidR="002350B8">
        <w:rPr>
          <w:rFonts w:eastAsia="Times New Roman"/>
          <w:szCs w:val="24"/>
          <w:lang w:eastAsia="zh-CN"/>
        </w:rPr>
        <w:t>spurious emissions</w:t>
      </w:r>
      <w:r w:rsidR="00837672" w:rsidRPr="0047391B">
        <w:rPr>
          <w:rFonts w:eastAsia="Times New Roman"/>
          <w:szCs w:val="24"/>
          <w:lang w:eastAsia="zh-CN"/>
        </w:rPr>
        <w:t>, SEM and ACLR</w:t>
      </w:r>
      <w:r w:rsidR="0047391B" w:rsidRPr="0047391B">
        <w:rPr>
          <w:rFonts w:eastAsia="Times New Roman"/>
          <w:szCs w:val="24"/>
          <w:lang w:eastAsia="zh-CN"/>
        </w:rPr>
        <w:t xml:space="preserve"> as this is in keeping with what is done at present.</w:t>
      </w:r>
    </w:p>
    <w:p w14:paraId="70204C47" w14:textId="77777777" w:rsidR="0047391B" w:rsidRDefault="0047391B" w:rsidP="00C15A81">
      <w:pPr>
        <w:overflowPunct w:val="0"/>
        <w:autoSpaceDE w:val="0"/>
        <w:autoSpaceDN w:val="0"/>
        <w:adjustRightInd w:val="0"/>
        <w:spacing w:after="120"/>
        <w:textAlignment w:val="baseline"/>
        <w:rPr>
          <w:rFonts w:eastAsia="Times New Roman"/>
          <w:color w:val="0070C0"/>
          <w:szCs w:val="24"/>
          <w:lang w:eastAsia="zh-CN"/>
        </w:rPr>
      </w:pPr>
    </w:p>
    <w:p w14:paraId="0781CD45" w14:textId="5B4B1716" w:rsidR="0047391B" w:rsidRPr="0047391B" w:rsidRDefault="0047391B" w:rsidP="00C15A81">
      <w:pPr>
        <w:overflowPunct w:val="0"/>
        <w:autoSpaceDE w:val="0"/>
        <w:autoSpaceDN w:val="0"/>
        <w:adjustRightInd w:val="0"/>
        <w:spacing w:after="120"/>
        <w:textAlignment w:val="baseline"/>
        <w:rPr>
          <w:rFonts w:eastAsia="Times New Roman"/>
          <w:b/>
          <w:bCs/>
          <w:szCs w:val="24"/>
          <w:lang w:eastAsia="zh-CN"/>
        </w:rPr>
      </w:pPr>
      <w:r w:rsidRPr="0047391B">
        <w:rPr>
          <w:rFonts w:eastAsia="Times New Roman"/>
          <w:b/>
          <w:bCs/>
          <w:szCs w:val="24"/>
          <w:lang w:eastAsia="zh-CN"/>
        </w:rPr>
        <w:t>Proposal</w:t>
      </w:r>
      <w:r w:rsidR="005C43D5">
        <w:rPr>
          <w:rFonts w:eastAsia="Times New Roman"/>
          <w:b/>
          <w:bCs/>
          <w:szCs w:val="24"/>
          <w:lang w:eastAsia="zh-CN"/>
        </w:rPr>
        <w:t>#3</w:t>
      </w:r>
      <w:r w:rsidRPr="0047391B">
        <w:rPr>
          <w:rFonts w:eastAsia="Times New Roman"/>
          <w:b/>
          <w:bCs/>
          <w:szCs w:val="24"/>
          <w:lang w:eastAsia="zh-CN"/>
        </w:rPr>
        <w:t xml:space="preserve">: </w:t>
      </w:r>
      <w:r w:rsidR="003F7412">
        <w:rPr>
          <w:rFonts w:eastAsia="Times New Roman"/>
          <w:b/>
          <w:bCs/>
          <w:szCs w:val="24"/>
          <w:lang w:eastAsia="zh-CN"/>
        </w:rPr>
        <w:t>When</w:t>
      </w:r>
      <w:r w:rsidRPr="0047391B">
        <w:rPr>
          <w:rFonts w:eastAsia="Times New Roman"/>
          <w:b/>
          <w:bCs/>
          <w:szCs w:val="24"/>
          <w:lang w:eastAsia="zh-CN"/>
        </w:rPr>
        <w:t xml:space="preserve"> only 1 CC is activated the aggregated BW for CA should be used for evaluating metrics such as </w:t>
      </w:r>
      <w:r w:rsidR="002350B8">
        <w:rPr>
          <w:rFonts w:eastAsia="Times New Roman"/>
          <w:b/>
          <w:bCs/>
          <w:szCs w:val="24"/>
          <w:lang w:eastAsia="zh-CN"/>
        </w:rPr>
        <w:t>spurious emissions</w:t>
      </w:r>
      <w:r w:rsidRPr="0047391B">
        <w:rPr>
          <w:rFonts w:eastAsia="Times New Roman"/>
          <w:b/>
          <w:bCs/>
          <w:szCs w:val="24"/>
          <w:lang w:eastAsia="zh-CN"/>
        </w:rPr>
        <w:t>, SEM and ACLR</w:t>
      </w:r>
      <w:r>
        <w:rPr>
          <w:rFonts w:eastAsia="Times New Roman"/>
          <w:b/>
          <w:bCs/>
          <w:szCs w:val="24"/>
          <w:lang w:eastAsia="zh-CN"/>
        </w:rPr>
        <w:t>.</w:t>
      </w:r>
    </w:p>
    <w:p w14:paraId="17E5BA66" w14:textId="626EE98E" w:rsidR="00331888" w:rsidRDefault="00331888" w:rsidP="0019182F">
      <w:pPr>
        <w:overflowPunct w:val="0"/>
        <w:autoSpaceDE w:val="0"/>
        <w:autoSpaceDN w:val="0"/>
        <w:adjustRightInd w:val="0"/>
        <w:spacing w:after="120"/>
        <w:textAlignment w:val="baseline"/>
        <w:rPr>
          <w:rFonts w:eastAsia="Times New Roman"/>
          <w:b/>
          <w:bCs/>
          <w:szCs w:val="24"/>
          <w:lang w:eastAsia="zh-CN"/>
        </w:rPr>
      </w:pPr>
    </w:p>
    <w:p w14:paraId="008E0B0C" w14:textId="53A2A74A" w:rsidR="00A1152E" w:rsidRDefault="00A1152E" w:rsidP="0019182F">
      <w:pPr>
        <w:overflowPunct w:val="0"/>
        <w:autoSpaceDE w:val="0"/>
        <w:autoSpaceDN w:val="0"/>
        <w:adjustRightInd w:val="0"/>
        <w:spacing w:after="120"/>
        <w:textAlignment w:val="baseline"/>
        <w:rPr>
          <w:rFonts w:eastAsia="Times New Roman"/>
          <w:szCs w:val="24"/>
          <w:lang w:eastAsia="zh-CN"/>
        </w:rPr>
      </w:pPr>
      <w:r w:rsidRPr="00EF6CB0">
        <w:rPr>
          <w:rFonts w:eastAsia="Times New Roman"/>
          <w:szCs w:val="24"/>
          <w:lang w:eastAsia="zh-CN"/>
        </w:rPr>
        <w:t>Also,</w:t>
      </w:r>
      <w:r w:rsidR="00EF6CB0" w:rsidRPr="00EF6CB0">
        <w:rPr>
          <w:rFonts w:eastAsia="Times New Roman"/>
          <w:szCs w:val="24"/>
          <w:lang w:eastAsia="zh-CN"/>
        </w:rPr>
        <w:t xml:space="preserve"> when 1 CC is activated the spurious emissions, ACLR and SEM specifications that are used </w:t>
      </w:r>
      <w:r w:rsidR="001C4DEE">
        <w:rPr>
          <w:rFonts w:eastAsia="Times New Roman"/>
          <w:szCs w:val="24"/>
          <w:lang w:eastAsia="zh-CN"/>
        </w:rPr>
        <w:t xml:space="preserve">for validation should correspond to that </w:t>
      </w:r>
      <w:r w:rsidR="00EF6CB0" w:rsidRPr="00EF6CB0">
        <w:rPr>
          <w:rFonts w:eastAsia="Times New Roman"/>
          <w:szCs w:val="24"/>
          <w:lang w:eastAsia="zh-CN"/>
        </w:rPr>
        <w:t>for the aggregated configured CBW</w:t>
      </w:r>
      <w:r w:rsidR="006A46B2">
        <w:rPr>
          <w:rFonts w:eastAsia="Times New Roman"/>
          <w:szCs w:val="24"/>
          <w:lang w:eastAsia="zh-CN"/>
        </w:rPr>
        <w:t>.</w:t>
      </w:r>
    </w:p>
    <w:p w14:paraId="5A76F300" w14:textId="7BBF2BE4" w:rsidR="002A2371" w:rsidRPr="002A2371" w:rsidRDefault="002A2371" w:rsidP="002A2371">
      <w:pPr>
        <w:overflowPunct w:val="0"/>
        <w:autoSpaceDE w:val="0"/>
        <w:autoSpaceDN w:val="0"/>
        <w:adjustRightInd w:val="0"/>
        <w:spacing w:after="120"/>
        <w:textAlignment w:val="baseline"/>
        <w:rPr>
          <w:rFonts w:eastAsia="Times New Roman"/>
          <w:b/>
          <w:bCs/>
          <w:szCs w:val="24"/>
          <w:lang w:eastAsia="zh-CN"/>
        </w:rPr>
      </w:pPr>
      <w:r w:rsidRPr="002A2371">
        <w:rPr>
          <w:rFonts w:eastAsia="Times New Roman"/>
          <w:b/>
          <w:bCs/>
          <w:szCs w:val="24"/>
          <w:lang w:eastAsia="zh-CN"/>
        </w:rPr>
        <w:t>Proposal</w:t>
      </w:r>
      <w:r w:rsidR="005C43D5">
        <w:rPr>
          <w:rFonts w:eastAsia="Times New Roman"/>
          <w:b/>
          <w:bCs/>
          <w:szCs w:val="24"/>
          <w:lang w:eastAsia="zh-CN"/>
        </w:rPr>
        <w:t>#4</w:t>
      </w:r>
      <w:r w:rsidRPr="002A2371">
        <w:rPr>
          <w:rFonts w:eastAsia="Times New Roman"/>
          <w:b/>
          <w:bCs/>
          <w:szCs w:val="24"/>
          <w:lang w:eastAsia="zh-CN"/>
        </w:rPr>
        <w:t xml:space="preserve">: </w:t>
      </w:r>
      <w:r w:rsidR="00D57725" w:rsidRPr="002A2371">
        <w:rPr>
          <w:rFonts w:eastAsia="Times New Roman"/>
          <w:b/>
          <w:bCs/>
          <w:szCs w:val="24"/>
          <w:lang w:eastAsia="zh-CN"/>
        </w:rPr>
        <w:t xml:space="preserve">When 1 CC is activated the spurious emissions, ACLR and SEM specifications that </w:t>
      </w:r>
      <w:r w:rsidR="00D57725">
        <w:rPr>
          <w:rFonts w:eastAsia="Times New Roman"/>
          <w:b/>
          <w:bCs/>
          <w:szCs w:val="24"/>
          <w:lang w:eastAsia="zh-CN"/>
        </w:rPr>
        <w:t>apply are those</w:t>
      </w:r>
      <w:r w:rsidR="00D57725" w:rsidRPr="002A2371">
        <w:rPr>
          <w:rFonts w:eastAsia="Times New Roman"/>
          <w:b/>
          <w:bCs/>
          <w:szCs w:val="24"/>
          <w:lang w:eastAsia="zh-CN"/>
        </w:rPr>
        <w:t xml:space="preserve"> for the aggregated configured CBW</w:t>
      </w:r>
    </w:p>
    <w:p w14:paraId="556EE659" w14:textId="20552257" w:rsidR="002A2371" w:rsidRPr="00EF6CB0" w:rsidRDefault="002A2371" w:rsidP="0019182F">
      <w:pPr>
        <w:overflowPunct w:val="0"/>
        <w:autoSpaceDE w:val="0"/>
        <w:autoSpaceDN w:val="0"/>
        <w:adjustRightInd w:val="0"/>
        <w:spacing w:after="120"/>
        <w:textAlignment w:val="baseline"/>
        <w:rPr>
          <w:rFonts w:eastAsia="Times New Roman"/>
          <w:szCs w:val="24"/>
          <w:lang w:eastAsia="zh-CN"/>
        </w:rPr>
      </w:pPr>
    </w:p>
    <w:p w14:paraId="6BC80A2D" w14:textId="272DD0C5" w:rsidR="005801E7" w:rsidRDefault="005801E7" w:rsidP="005801E7">
      <w:r>
        <w:t xml:space="preserve">For intra-band non-contiguous </w:t>
      </w:r>
      <w:r w:rsidR="00AD688C">
        <w:t>UL CA,</w:t>
      </w:r>
      <w:r>
        <w:t xml:space="preserve"> the scheme to be used when only 1 CC is activated was left for further discussion [1]. From [2] we see that according to section 6.2A.2.2.0 the following is mentioned for UEs indicating and not indicating dualPA-Architecture.</w:t>
      </w:r>
    </w:p>
    <w:p w14:paraId="743B6425" w14:textId="4EFCFBA3" w:rsidR="005801E7" w:rsidRDefault="006125ED" w:rsidP="005801E7">
      <w:r>
        <w:rPr>
          <w:noProof/>
        </w:rPr>
        <mc:AlternateContent>
          <mc:Choice Requires="wps">
            <w:drawing>
              <wp:anchor distT="0" distB="0" distL="114300" distR="114300" simplePos="0" relativeHeight="251670528" behindDoc="0" locked="0" layoutInCell="1" allowOverlap="1" wp14:anchorId="74D2E7E2" wp14:editId="38823F16">
                <wp:simplePos x="0" y="0"/>
                <wp:positionH relativeFrom="column">
                  <wp:posOffset>-157149</wp:posOffset>
                </wp:positionH>
                <wp:positionV relativeFrom="paragraph">
                  <wp:posOffset>127000</wp:posOffset>
                </wp:positionV>
                <wp:extent cx="6185535" cy="3967176"/>
                <wp:effectExtent l="0" t="0" r="24765" b="14605"/>
                <wp:wrapNone/>
                <wp:docPr id="245836999" name="Rectangle 1"/>
                <wp:cNvGraphicFramePr/>
                <a:graphic xmlns:a="http://schemas.openxmlformats.org/drawingml/2006/main">
                  <a:graphicData uri="http://schemas.microsoft.com/office/word/2010/wordprocessingShape">
                    <wps:wsp>
                      <wps:cNvSpPr/>
                      <wps:spPr>
                        <a:xfrm>
                          <a:off x="0" y="0"/>
                          <a:ext cx="6185535" cy="3967176"/>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EC7DE2" id="Rectangle 1" o:spid="_x0000_s1026" style="position:absolute;margin-left:-12.35pt;margin-top:10pt;width:487.05pt;height:312.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" filled="f" strokecolor="black [3213]" strokeweight="1pt"/>
            </w:pict>
          </mc:Fallback>
        </mc:AlternateContent>
      </w:r>
    </w:p>
    <w:p w14:paraId="257DCCC4" w14:textId="58DA46C3" w:rsidR="005801E7" w:rsidRPr="00A1115A" w:rsidRDefault="005801E7" w:rsidP="005801E7">
      <w:pPr>
        <w:pStyle w:val="Heading4"/>
      </w:pPr>
      <w:bookmarkStart w:id="3" w:name="_Toc61367351"/>
      <w:bookmarkStart w:id="4" w:name="_Toc61372734"/>
      <w:bookmarkStart w:id="5" w:name="_Toc68230675"/>
      <w:bookmarkStart w:id="6" w:name="_Toc69084088"/>
      <w:bookmarkStart w:id="7" w:name="_Toc75467097"/>
      <w:bookmarkStart w:id="8" w:name="_Toc76509119"/>
      <w:bookmarkStart w:id="9" w:name="_Toc76718109"/>
      <w:bookmarkStart w:id="10" w:name="_Toc83580419"/>
      <w:bookmarkStart w:id="11" w:name="_Toc84404928"/>
      <w:bookmarkStart w:id="12" w:name="_Toc84413537"/>
      <w:r w:rsidRPr="00A1115A">
        <w:t>6.2A.2.2</w:t>
      </w:r>
      <w:r w:rsidRPr="00A1115A">
        <w:tab/>
        <w:t>UE maximum output power reduction for Intra-band non-contiguous CA</w:t>
      </w:r>
      <w:bookmarkEnd w:id="3"/>
      <w:bookmarkEnd w:id="4"/>
      <w:bookmarkEnd w:id="5"/>
      <w:bookmarkEnd w:id="6"/>
      <w:bookmarkEnd w:id="7"/>
      <w:bookmarkEnd w:id="8"/>
      <w:bookmarkEnd w:id="9"/>
      <w:bookmarkEnd w:id="10"/>
      <w:bookmarkEnd w:id="11"/>
      <w:bookmarkEnd w:id="12"/>
    </w:p>
    <w:p w14:paraId="66252F47" w14:textId="017A7B29" w:rsidR="005801E7" w:rsidRDefault="005801E7" w:rsidP="005801E7">
      <w:pPr>
        <w:pStyle w:val="Heading5"/>
        <w:rPr>
          <w:lang w:eastAsia="zh-CN"/>
        </w:rPr>
      </w:pPr>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3B9399D9" w14:textId="79AC12B1" w:rsidR="005801E7" w:rsidRDefault="005801E7" w:rsidP="005801E7">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2881F89E" w14:textId="564FE7D9" w:rsidR="005801E7" w:rsidRDefault="005801E7" w:rsidP="005801E7">
      <w:pPr>
        <w:ind w:firstLine="284"/>
      </w:pPr>
      <w:r w:rsidRPr="002E1676">
        <w:rPr>
          <w:rFonts w:eastAsia="Yu Mincho"/>
          <w:lang w:val="en-US"/>
        </w:rPr>
        <w:t xml:space="preserve">For UE indicating </w:t>
      </w:r>
      <w:r w:rsidRPr="002E1676">
        <w:rPr>
          <w:i/>
        </w:rPr>
        <w:t xml:space="preserve">dualPA-Architecture </w:t>
      </w:r>
      <w:r w:rsidRPr="002E1676">
        <w:t>supported</w:t>
      </w:r>
    </w:p>
    <w:p w14:paraId="1D2B96A0" w14:textId="77777777" w:rsidR="005801E7" w:rsidRPr="00293AF2" w:rsidRDefault="005801E7" w:rsidP="005801E7">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2C3E27B5" w14:textId="77777777" w:rsidR="005801E7" w:rsidRPr="00293AF2" w:rsidRDefault="005801E7" w:rsidP="005801E7">
      <w:pPr>
        <w:spacing w:after="0"/>
        <w:ind w:left="568"/>
        <w:rPr>
          <w:rFonts w:eastAsia="Yu Mincho"/>
          <w:highlight w:val="yellow"/>
          <w:lang w:val="en-US"/>
        </w:rPr>
      </w:pPr>
    </w:p>
    <w:p w14:paraId="67860B57" w14:textId="039AA195" w:rsidR="005801E7" w:rsidRPr="000363AF" w:rsidRDefault="005801E7" w:rsidP="005801E7">
      <w:pPr>
        <w:spacing w:after="0"/>
        <w:ind w:left="852" w:firstLine="284"/>
        <w:rPr>
          <w:rFonts w:eastAsia="Yu Mincho"/>
          <w:lang w:val="en-US"/>
        </w:rPr>
      </w:pPr>
      <w:r w:rsidRPr="002E1676">
        <w:rPr>
          <w:rFonts w:eastAsia="Yu Mincho"/>
          <w:lang w:val="en-US"/>
        </w:rPr>
        <w:t>MPR defined in Table 6.2.2-1 and Table 6.2.2-2 for PC3 and PC2 UE respectively</w:t>
      </w:r>
    </w:p>
    <w:p w14:paraId="1C6DF87A" w14:textId="77777777" w:rsidR="005801E7" w:rsidRPr="000363AF" w:rsidRDefault="005801E7" w:rsidP="005801E7">
      <w:pPr>
        <w:spacing w:after="0"/>
        <w:ind w:left="568"/>
        <w:rPr>
          <w:rFonts w:eastAsia="Yu Mincho"/>
          <w:lang w:val="en-US"/>
        </w:rPr>
      </w:pPr>
    </w:p>
    <w:p w14:paraId="41E21B10" w14:textId="77777777" w:rsidR="005801E7" w:rsidRPr="00A1115A" w:rsidRDefault="005801E7" w:rsidP="005801E7">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1A351E3D" w14:textId="1E8D5D89" w:rsidR="005801E7" w:rsidRPr="00A1115A" w:rsidRDefault="005801E7" w:rsidP="005801E7">
      <w:pPr>
        <w:spacing w:after="0"/>
        <w:ind w:left="568"/>
        <w:rPr>
          <w:rFonts w:eastAsia="Yu Mincho"/>
          <w:lang w:val="en-US"/>
        </w:rPr>
      </w:pPr>
    </w:p>
    <w:p w14:paraId="02D5D372" w14:textId="77777777" w:rsidR="005801E7" w:rsidRPr="00A1115A" w:rsidRDefault="005801E7" w:rsidP="005801E7">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601D6240" w14:textId="3E0B6142" w:rsidR="005801E7" w:rsidRPr="00A1115A" w:rsidRDefault="005801E7" w:rsidP="005801E7">
      <w:pPr>
        <w:spacing w:after="0"/>
        <w:ind w:left="568"/>
        <w:rPr>
          <w:rFonts w:eastAsia="Yu Mincho"/>
          <w:lang w:val="en-US"/>
        </w:rPr>
      </w:pPr>
    </w:p>
    <w:p w14:paraId="624F270A" w14:textId="77777777" w:rsidR="005801E7" w:rsidRPr="00A1115A" w:rsidRDefault="005801E7" w:rsidP="005801E7">
      <w:pPr>
        <w:ind w:left="568"/>
      </w:pPr>
      <w:r w:rsidRPr="00A1115A">
        <w:t>Else</w:t>
      </w:r>
    </w:p>
    <w:p w14:paraId="119989CB" w14:textId="426C64AB" w:rsidR="005801E7" w:rsidRDefault="005801E7" w:rsidP="005801E7">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4A47FE72" w14:textId="77777777" w:rsidR="005801E7" w:rsidRPr="00A1115A" w:rsidRDefault="005801E7" w:rsidP="005801E7">
      <w:pPr>
        <w:spacing w:after="0"/>
        <w:ind w:left="1134" w:hanging="566"/>
        <w:rPr>
          <w:rFonts w:eastAsia="Yu Mincho"/>
          <w:lang w:val="en-US"/>
        </w:rPr>
      </w:pPr>
    </w:p>
    <w:p w14:paraId="46F9431D" w14:textId="77777777" w:rsidR="005801E7" w:rsidRPr="002E1676" w:rsidRDefault="005801E7" w:rsidP="005801E7">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6390985C" w14:textId="5A3A6E88" w:rsidR="005801E7" w:rsidRPr="002E1676" w:rsidRDefault="005801E7" w:rsidP="005801E7">
      <w:pPr>
        <w:spacing w:after="0"/>
        <w:rPr>
          <w:rFonts w:eastAsia="Yu Mincho"/>
          <w:lang w:val="en-US"/>
        </w:rPr>
      </w:pPr>
    </w:p>
    <w:p w14:paraId="3D31DFAF" w14:textId="5A4E85B6" w:rsidR="005801E7" w:rsidRPr="002E1676" w:rsidRDefault="006125ED" w:rsidP="005801E7">
      <w:pPr>
        <w:spacing w:after="0"/>
        <w:ind w:left="568"/>
        <w:rPr>
          <w:rFonts w:eastAsia="Yu Mincho"/>
          <w:lang w:val="en-US"/>
        </w:rPr>
      </w:pPr>
      <w:r>
        <w:rPr>
          <w:noProof/>
        </w:rPr>
        <mc:AlternateContent>
          <mc:Choice Requires="wps">
            <w:drawing>
              <wp:anchor distT="0" distB="0" distL="114300" distR="114300" simplePos="0" relativeHeight="251672576" behindDoc="0" locked="0" layoutInCell="1" allowOverlap="1" wp14:anchorId="2A4572A2" wp14:editId="07BE7162">
                <wp:simplePos x="0" y="0"/>
                <wp:positionH relativeFrom="column">
                  <wp:posOffset>-194641</wp:posOffset>
                </wp:positionH>
                <wp:positionV relativeFrom="paragraph">
                  <wp:posOffset>-462280</wp:posOffset>
                </wp:positionV>
                <wp:extent cx="6185535" cy="1781092"/>
                <wp:effectExtent l="0" t="0" r="24765" b="10160"/>
                <wp:wrapNone/>
                <wp:docPr id="578630754" name="Rectangle 1"/>
                <wp:cNvGraphicFramePr/>
                <a:graphic xmlns:a="http://schemas.openxmlformats.org/drawingml/2006/main">
                  <a:graphicData uri="http://schemas.microsoft.com/office/word/2010/wordprocessingShape">
                    <wps:wsp>
                      <wps:cNvSpPr/>
                      <wps:spPr>
                        <a:xfrm>
                          <a:off x="0" y="0"/>
                          <a:ext cx="6185535" cy="17810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55CC42" id="Rectangle 1" o:spid="_x0000_s1026" style="position:absolute;margin-left:-15.35pt;margin-top:-36.4pt;width:487.05pt;height:14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" filled="f" strokecolor="black [3213]" strokeweight="1pt"/>
            </w:pict>
          </mc:Fallback>
        </mc:AlternateContent>
      </w:r>
      <w:r w:rsidR="005801E7" w:rsidRPr="002E1676">
        <w:rPr>
          <w:rFonts w:eastAsia="Yu Mincho"/>
          <w:lang w:val="en-US"/>
        </w:rPr>
        <w:t xml:space="preserve">If OR( </w:t>
      </w:r>
      <w:r w:rsidR="005801E7" w:rsidRPr="002E1676">
        <w:t>L</w:t>
      </w:r>
      <w:r w:rsidR="005801E7" w:rsidRPr="002E1676">
        <w:rPr>
          <w:vertAlign w:val="subscript"/>
        </w:rPr>
        <w:t xml:space="preserve">CRB1 </w:t>
      </w:r>
      <w:r w:rsidR="005801E7" w:rsidRPr="002E1676">
        <w:rPr>
          <w:rFonts w:eastAsia="Yu Mincho"/>
          <w:lang w:val="en-US"/>
        </w:rPr>
        <w:t xml:space="preserve">= 0, </w:t>
      </w:r>
      <w:r w:rsidR="005801E7" w:rsidRPr="002E1676">
        <w:t>L</w:t>
      </w:r>
      <w:r w:rsidR="005801E7" w:rsidRPr="002E1676">
        <w:rPr>
          <w:vertAlign w:val="subscript"/>
        </w:rPr>
        <w:t xml:space="preserve">CRB2 </w:t>
      </w:r>
      <w:r w:rsidR="005801E7" w:rsidRPr="002E1676">
        <w:rPr>
          <w:rFonts w:eastAsia="Yu Mincho"/>
          <w:lang w:val="en-US"/>
        </w:rPr>
        <w:t>= 0</w:t>
      </w:r>
      <w:r w:rsidR="005801E7" w:rsidRPr="002E1676">
        <w:rPr>
          <w:rFonts w:eastAsia="Yu Mincho"/>
        </w:rPr>
        <w:t xml:space="preserve"> </w:t>
      </w:r>
      <w:r w:rsidR="005801E7" w:rsidRPr="002E1676">
        <w:rPr>
          <w:rFonts w:eastAsia="Yu Mincho"/>
          <w:lang w:val="en-US"/>
        </w:rPr>
        <w:t>)</w:t>
      </w:r>
    </w:p>
    <w:p w14:paraId="3D5F0362" w14:textId="77777777" w:rsidR="005801E7" w:rsidRPr="002E1676" w:rsidRDefault="005801E7" w:rsidP="005801E7">
      <w:pPr>
        <w:spacing w:after="0"/>
        <w:ind w:left="568"/>
        <w:rPr>
          <w:rFonts w:eastAsia="Yu Mincho"/>
          <w:lang w:val="en-US"/>
        </w:rPr>
      </w:pPr>
    </w:p>
    <w:p w14:paraId="01119308" w14:textId="77777777" w:rsidR="005801E7" w:rsidRPr="002E1676" w:rsidRDefault="005801E7" w:rsidP="005801E7">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1A4257E0" w14:textId="77777777" w:rsidR="005801E7" w:rsidRPr="002E1676" w:rsidRDefault="005801E7" w:rsidP="005801E7">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7E31E82A" w14:textId="77777777" w:rsidR="005801E7" w:rsidRPr="002E1676" w:rsidRDefault="005801E7" w:rsidP="005801E7">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5BA49D03" w14:textId="77777777" w:rsidR="005801E7" w:rsidRDefault="005801E7" w:rsidP="005801E7"/>
    <w:p w14:paraId="55286729" w14:textId="03CFC1E0" w:rsidR="005801E7" w:rsidRDefault="005801E7" w:rsidP="005801E7">
      <w:r>
        <w:t>According to [2] for a UE indicating or not indicating dualPA-Architecture for intra-band non-contiguous CA when either L</w:t>
      </w:r>
      <w:r w:rsidRPr="00D81049">
        <w:rPr>
          <w:vertAlign w:val="subscript"/>
        </w:rPr>
        <w:t>CRB1</w:t>
      </w:r>
      <w:r>
        <w:t>=0 or L</w:t>
      </w:r>
      <w:r w:rsidRPr="00D81049">
        <w:rPr>
          <w:vertAlign w:val="subscript"/>
        </w:rPr>
        <w:t>CRB2</w:t>
      </w:r>
      <w:r>
        <w:t>=0 the single CC MPR tables are used. As the RB determination occurs at scheduling it is seen that for the non-contiguous CA the standard [2] already accounts for the scenario where only 1 CC is scheduled.</w:t>
      </w:r>
      <w:r w:rsidR="00BB21D4">
        <w:t xml:space="preserve"> </w:t>
      </w:r>
      <w:r w:rsidR="007B1C40">
        <w:t>In t</w:t>
      </w:r>
      <w:r w:rsidR="00BB21D4">
        <w:t>he</w:t>
      </w:r>
      <w:r w:rsidR="007B1C40">
        <w:t xml:space="preserve"> </w:t>
      </w:r>
      <w:r w:rsidR="00685C3D">
        <w:t xml:space="preserve">above </w:t>
      </w:r>
      <w:r w:rsidR="007B1C40">
        <w:t>text the</w:t>
      </w:r>
      <w:r w:rsidR="00BB21D4">
        <w:t xml:space="preserve"> exception </w:t>
      </w:r>
      <w:r w:rsidR="00F847DE">
        <w:t xml:space="preserve">stated </w:t>
      </w:r>
      <w:r w:rsidR="00BB21D4">
        <w:t>for the case</w:t>
      </w:r>
      <w:r w:rsidR="006D5D21">
        <w:t>s</w:t>
      </w:r>
      <w:r w:rsidR="00BB21D4">
        <w:t xml:space="preserve"> </w:t>
      </w:r>
      <w:r w:rsidR="00B46D25">
        <w:t>when</w:t>
      </w:r>
      <w:r w:rsidR="00BB21D4">
        <w:t xml:space="preserve"> </w:t>
      </w:r>
      <w:r w:rsidR="00D518E3">
        <w:t>B&lt;</w:t>
      </w:r>
      <w:r w:rsidR="005B3BD6">
        <w:t xml:space="preserve"> </w:t>
      </w:r>
      <w:r w:rsidR="00B46D25">
        <w:t>9</w:t>
      </w:r>
      <w:r w:rsidR="005B3BD6">
        <w:t xml:space="preserve">MHz or </w:t>
      </w:r>
      <w:r w:rsidR="00B46D25">
        <w:t>11.</w:t>
      </w:r>
      <w:r w:rsidR="00862CB7">
        <w:t>52</w:t>
      </w:r>
      <w:r w:rsidR="005B3BD6">
        <w:t>MHz</w:t>
      </w:r>
      <w:r w:rsidR="00862CB7">
        <w:t xml:space="preserve"> and</w:t>
      </w:r>
      <w:r w:rsidR="001E5D2B">
        <w:t xml:space="preserve"> </w:t>
      </w:r>
      <w:r w:rsidR="00B46D25">
        <w:t xml:space="preserve">MPR is </w:t>
      </w:r>
      <w:r w:rsidR="003B3876">
        <w:t xml:space="preserve">set to either </w:t>
      </w:r>
      <w:r w:rsidR="00B46D25">
        <w:t>5.5</w:t>
      </w:r>
      <w:r w:rsidR="00375D85">
        <w:t xml:space="preserve"> dB or </w:t>
      </w:r>
      <w:r w:rsidR="00B46D25">
        <w:t>6.5</w:t>
      </w:r>
      <w:r w:rsidR="00375D85">
        <w:t xml:space="preserve"> dB </w:t>
      </w:r>
      <w:r w:rsidR="00B46D25">
        <w:t xml:space="preserve">for  PC3 and PC2 respectively is to </w:t>
      </w:r>
      <w:r w:rsidR="00375D85">
        <w:t>me</w:t>
      </w:r>
      <w:r w:rsidR="003B3876">
        <w:t>e</w:t>
      </w:r>
      <w:r w:rsidR="00375D85">
        <w:t>t the -30 dBm/MHz emissions requirement</w:t>
      </w:r>
      <w:r w:rsidR="0011039B">
        <w:t>.</w:t>
      </w:r>
      <w:r w:rsidR="00EE5820">
        <w:t xml:space="preserve"> These exceptions were added based on measurement work done in [3]</w:t>
      </w:r>
    </w:p>
    <w:p w14:paraId="0A0A7F64" w14:textId="1F1EFB30" w:rsidR="005801E7" w:rsidRDefault="005801E7" w:rsidP="005801E7">
      <w:pPr>
        <w:rPr>
          <w:b/>
          <w:bCs/>
        </w:rPr>
      </w:pPr>
      <w:r w:rsidRPr="00D13D25">
        <w:rPr>
          <w:b/>
          <w:bCs/>
        </w:rPr>
        <w:t>Observation</w:t>
      </w:r>
      <w:r w:rsidR="00716A50">
        <w:rPr>
          <w:b/>
          <w:bCs/>
        </w:rPr>
        <w:t>#3</w:t>
      </w:r>
      <w:r w:rsidRPr="00D13D25">
        <w:rPr>
          <w:b/>
          <w:bCs/>
        </w:rPr>
        <w:t xml:space="preserve">: For </w:t>
      </w:r>
      <w:r w:rsidRPr="00FE0599">
        <w:rPr>
          <w:b/>
          <w:bCs/>
        </w:rPr>
        <w:t xml:space="preserve">PC3 and PC2 </w:t>
      </w:r>
      <w:r w:rsidRPr="00D13D25">
        <w:rPr>
          <w:b/>
          <w:bCs/>
        </w:rPr>
        <w:t xml:space="preserve">intra-band non-contiguous CA the standard already accounts for </w:t>
      </w:r>
      <w:r>
        <w:rPr>
          <w:b/>
          <w:bCs/>
        </w:rPr>
        <w:t xml:space="preserve">using the single CC MPR tables when </w:t>
      </w:r>
      <w:r w:rsidRPr="00D13D25">
        <w:rPr>
          <w:b/>
          <w:bCs/>
        </w:rPr>
        <w:t>only one CC is scheduled.</w:t>
      </w:r>
    </w:p>
    <w:p w14:paraId="4FC5DD98" w14:textId="2709FA00" w:rsidR="005801E7" w:rsidRPr="00712D8C" w:rsidRDefault="005801E7" w:rsidP="005801E7">
      <w:pPr>
        <w:rPr>
          <w:b/>
          <w:bCs/>
        </w:rPr>
      </w:pPr>
      <w:r>
        <w:rPr>
          <w:b/>
          <w:bCs/>
        </w:rPr>
        <w:t>Proposal</w:t>
      </w:r>
      <w:r w:rsidR="00716A50">
        <w:rPr>
          <w:b/>
          <w:bCs/>
        </w:rPr>
        <w:t>#</w:t>
      </w:r>
      <w:r w:rsidR="00BD01C6">
        <w:rPr>
          <w:b/>
          <w:bCs/>
        </w:rPr>
        <w:t>5</w:t>
      </w:r>
      <w:r>
        <w:rPr>
          <w:b/>
          <w:bCs/>
        </w:rPr>
        <w:t xml:space="preserve">: For </w:t>
      </w:r>
      <w:r w:rsidRPr="00FE0599">
        <w:rPr>
          <w:b/>
          <w:bCs/>
        </w:rPr>
        <w:t xml:space="preserve">PC3 and PC2 </w:t>
      </w:r>
      <w:r>
        <w:rPr>
          <w:b/>
          <w:bCs/>
        </w:rPr>
        <w:t>intra-band non-contiguous CA as the standard already accounts for the use of the single CC MPR tables when only 1 CC is scheduled no further changes to the standard are required.</w:t>
      </w:r>
      <w:r w:rsidRPr="00FE0599">
        <w:rPr>
          <w:b/>
          <w:bCs/>
        </w:rPr>
        <w:t xml:space="preserve"> </w:t>
      </w:r>
    </w:p>
    <w:p w14:paraId="1E1020D3" w14:textId="106CF38E" w:rsidR="005801E7" w:rsidRPr="00331888" w:rsidRDefault="00464472" w:rsidP="0019182F">
      <w:pPr>
        <w:overflowPunct w:val="0"/>
        <w:autoSpaceDE w:val="0"/>
        <w:autoSpaceDN w:val="0"/>
        <w:adjustRightInd w:val="0"/>
        <w:spacing w:after="120"/>
        <w:textAlignment w:val="baseline"/>
        <w:rPr>
          <w:rFonts w:eastAsia="Times New Roman"/>
          <w:b/>
          <w:bCs/>
          <w:szCs w:val="24"/>
          <w:lang w:eastAsia="zh-CN"/>
        </w:rPr>
      </w:pPr>
      <w:bookmarkStart w:id="13" w:name="_Hlk174109206"/>
      <w:r>
        <w:rPr>
          <w:rFonts w:eastAsia="Times New Roman"/>
          <w:b/>
          <w:bCs/>
          <w:szCs w:val="24"/>
          <w:lang w:eastAsia="zh-CN"/>
        </w:rPr>
        <w:t>Observation</w:t>
      </w:r>
      <w:r w:rsidR="00716A50">
        <w:rPr>
          <w:rFonts w:eastAsia="Times New Roman"/>
          <w:b/>
          <w:bCs/>
          <w:szCs w:val="24"/>
          <w:lang w:eastAsia="zh-CN"/>
        </w:rPr>
        <w:t>#4</w:t>
      </w:r>
      <w:r w:rsidR="002028B1">
        <w:rPr>
          <w:rFonts w:eastAsia="Times New Roman"/>
          <w:b/>
          <w:bCs/>
          <w:szCs w:val="24"/>
          <w:lang w:eastAsia="zh-CN"/>
        </w:rPr>
        <w:t>: The exceptions stated in section 6.2A.2.2.</w:t>
      </w:r>
      <w:r w:rsidR="002028B1" w:rsidRPr="00A01813">
        <w:rPr>
          <w:rFonts w:eastAsia="Times New Roman"/>
          <w:b/>
          <w:bCs/>
          <w:szCs w:val="24"/>
          <w:lang w:eastAsia="zh-CN"/>
        </w:rPr>
        <w:t xml:space="preserve">0 </w:t>
      </w:r>
      <w:r w:rsidR="00A01813" w:rsidRPr="00A01813">
        <w:rPr>
          <w:b/>
          <w:bCs/>
        </w:rPr>
        <w:t>for the cases when B&lt; 9MHz or 11.52MHz and MPR is set to either 5.5 dB or 6.5 dB for PC3 and PC2 respectively is to meet the -30 dBm/MHz emissions requirement</w:t>
      </w:r>
      <w:r w:rsidR="00351978">
        <w:rPr>
          <w:b/>
          <w:bCs/>
        </w:rPr>
        <w:t>.</w:t>
      </w:r>
    </w:p>
    <w:bookmarkEnd w:id="13"/>
    <w:p w14:paraId="715FDF85" w14:textId="495A2DC0" w:rsidR="00593BEF" w:rsidRPr="00593BEF" w:rsidRDefault="00593BEF" w:rsidP="00593BEF">
      <w:pPr>
        <w:overflowPunct w:val="0"/>
        <w:autoSpaceDE w:val="0"/>
        <w:autoSpaceDN w:val="0"/>
        <w:adjustRightInd w:val="0"/>
        <w:spacing w:after="120"/>
        <w:jc w:val="center"/>
        <w:textAlignment w:val="baseline"/>
        <w:rPr>
          <w:rFonts w:eastAsia="Times New Roman"/>
          <w:color w:val="0070C0"/>
          <w:szCs w:val="24"/>
          <w:lang w:eastAsia="zh-CN"/>
        </w:rPr>
      </w:pPr>
    </w:p>
    <w:p w14:paraId="0EA2FD80" w14:textId="233D8E31" w:rsidR="009E54DA" w:rsidRPr="001E4305" w:rsidRDefault="009E54DA" w:rsidP="009E54DA">
      <w:pPr>
        <w:pStyle w:val="Heading1"/>
      </w:pPr>
      <w:r>
        <w:t>Conclusion</w:t>
      </w:r>
    </w:p>
    <w:p w14:paraId="30965B51" w14:textId="014ACC28" w:rsidR="001D633E" w:rsidRDefault="003D7B73" w:rsidP="003D7B73">
      <w:r>
        <w:t xml:space="preserve">In this paper </w:t>
      </w:r>
      <w:r w:rsidR="00665512">
        <w:t xml:space="preserve">we </w:t>
      </w:r>
      <w:r w:rsidR="00C914D6">
        <w:t xml:space="preserve">present </w:t>
      </w:r>
      <w:r w:rsidR="000663D7">
        <w:t>further views on MPR applicability for FR1 intra-band UL CA and make the following observations and proposals</w:t>
      </w:r>
      <w:r w:rsidR="00F97402">
        <w:t>:</w:t>
      </w:r>
    </w:p>
    <w:p w14:paraId="5FAA6F69" w14:textId="77777777" w:rsidR="00631F8E" w:rsidRDefault="00631F8E" w:rsidP="00631F8E">
      <w:pPr>
        <w:overflowPunct w:val="0"/>
        <w:autoSpaceDE w:val="0"/>
        <w:autoSpaceDN w:val="0"/>
        <w:adjustRightInd w:val="0"/>
        <w:spacing w:after="120"/>
        <w:textAlignment w:val="baseline"/>
        <w:rPr>
          <w:b/>
          <w:bCs/>
        </w:rPr>
      </w:pPr>
      <w:r w:rsidRPr="00B01A4F">
        <w:rPr>
          <w:b/>
          <w:bCs/>
        </w:rPr>
        <w:t>Observation</w:t>
      </w:r>
      <w:r>
        <w:rPr>
          <w:b/>
          <w:bCs/>
        </w:rPr>
        <w:t>#1</w:t>
      </w:r>
      <w:r w:rsidRPr="00B01A4F">
        <w:rPr>
          <w:b/>
          <w:bCs/>
        </w:rPr>
        <w:t>: Boosting enhances UE performance and though it was developed for single CC</w:t>
      </w:r>
      <w:r>
        <w:rPr>
          <w:b/>
          <w:bCs/>
        </w:rPr>
        <w:t xml:space="preserve"> there is</w:t>
      </w:r>
      <w:r w:rsidRPr="00B01A4F">
        <w:rPr>
          <w:b/>
          <w:bCs/>
        </w:rPr>
        <w:t xml:space="preserve"> no reason why it cannot be used when only 1 CC is activated.</w:t>
      </w:r>
    </w:p>
    <w:p w14:paraId="04C77AA3" w14:textId="77777777" w:rsidR="00A4602F" w:rsidRPr="003A68AA" w:rsidRDefault="00A4602F" w:rsidP="00A4602F">
      <w:pPr>
        <w:overflowPunct w:val="0"/>
        <w:autoSpaceDE w:val="0"/>
        <w:autoSpaceDN w:val="0"/>
        <w:adjustRightInd w:val="0"/>
        <w:spacing w:after="120"/>
        <w:textAlignment w:val="baseline"/>
        <w:rPr>
          <w:b/>
          <w:bCs/>
        </w:rPr>
      </w:pPr>
      <w:r w:rsidRPr="003A68AA">
        <w:rPr>
          <w:b/>
          <w:bCs/>
        </w:rPr>
        <w:t>Observation#2: Any amount of power boost is beneficial to UE performance</w:t>
      </w:r>
    </w:p>
    <w:p w14:paraId="73B86906" w14:textId="09744044" w:rsidR="00A4602F" w:rsidRPr="005908A2" w:rsidRDefault="00A4602F" w:rsidP="00A4602F">
      <w:pPr>
        <w:overflowPunct w:val="0"/>
        <w:autoSpaceDE w:val="0"/>
        <w:autoSpaceDN w:val="0"/>
        <w:adjustRightInd w:val="0"/>
        <w:spacing w:after="120"/>
        <w:textAlignment w:val="baseline"/>
        <w:rPr>
          <w:b/>
          <w:bCs/>
        </w:rPr>
      </w:pPr>
      <w:r w:rsidRPr="005908A2">
        <w:rPr>
          <w:b/>
          <w:bCs/>
        </w:rPr>
        <w:t xml:space="preserve">Proposal#1: </w:t>
      </w:r>
      <w:r w:rsidR="00A75B0E">
        <w:rPr>
          <w:b/>
          <w:bCs/>
        </w:rPr>
        <w:t>C</w:t>
      </w:r>
      <w:r w:rsidRPr="005908A2">
        <w:rPr>
          <w:b/>
          <w:bCs/>
        </w:rPr>
        <w:t>ompanies that do not want power boosting when 1 CC is activated should justify their reasons</w:t>
      </w:r>
    </w:p>
    <w:p w14:paraId="04A1F2A9" w14:textId="77777777" w:rsidR="00A4602F" w:rsidRPr="00D431BD" w:rsidRDefault="00A4602F" w:rsidP="00A4602F">
      <w:pPr>
        <w:overflowPunct w:val="0"/>
        <w:autoSpaceDE w:val="0"/>
        <w:autoSpaceDN w:val="0"/>
        <w:adjustRightInd w:val="0"/>
        <w:spacing w:after="120"/>
        <w:textAlignment w:val="baseline"/>
        <w:rPr>
          <w:b/>
          <w:bCs/>
        </w:rPr>
      </w:pPr>
      <w:r w:rsidRPr="00D431BD">
        <w:rPr>
          <w:b/>
          <w:bCs/>
        </w:rPr>
        <w:t>Proposal</w:t>
      </w:r>
      <w:r>
        <w:rPr>
          <w:b/>
          <w:bCs/>
        </w:rPr>
        <w:t>#2</w:t>
      </w:r>
      <w:r w:rsidRPr="00D431BD">
        <w:rPr>
          <w:b/>
          <w:bCs/>
        </w:rPr>
        <w:t xml:space="preserve">: </w:t>
      </w:r>
      <w:r w:rsidRPr="004856F6">
        <w:rPr>
          <w:rFonts w:eastAsia="SimSun"/>
          <w:b/>
          <w:bCs/>
          <w:szCs w:val="24"/>
          <w:lang w:eastAsia="zh-CN"/>
        </w:rPr>
        <w:t>For PC3 and PC2 contiguous UL CA use the corresponding single CC MPR when only 1 CC is activated</w:t>
      </w:r>
      <w:r w:rsidRPr="00D431BD">
        <w:rPr>
          <w:rFonts w:eastAsia="SimSun"/>
          <w:b/>
          <w:bCs/>
          <w:szCs w:val="24"/>
          <w:lang w:eastAsia="zh-CN"/>
        </w:rPr>
        <w:t xml:space="preserve"> and refer to the following MPR </w:t>
      </w:r>
      <w:r>
        <w:rPr>
          <w:rFonts w:eastAsia="SimSun"/>
          <w:b/>
          <w:bCs/>
          <w:szCs w:val="24"/>
          <w:lang w:eastAsia="zh-CN"/>
        </w:rPr>
        <w:t xml:space="preserve">tables </w:t>
      </w:r>
      <w:r w:rsidRPr="00D431BD">
        <w:rPr>
          <w:rFonts w:eastAsia="SimSun"/>
          <w:b/>
          <w:bCs/>
          <w:szCs w:val="24"/>
          <w:lang w:eastAsia="zh-CN"/>
        </w:rPr>
        <w:t>and corresponding configured Tx power requirements.</w:t>
      </w:r>
    </w:p>
    <w:p w14:paraId="53E6EB06" w14:textId="77777777" w:rsidR="00A4602F" w:rsidRPr="007C6874" w:rsidRDefault="00A4602F" w:rsidP="00A4602F">
      <w:pPr>
        <w:pStyle w:val="ListParagraph"/>
        <w:numPr>
          <w:ilvl w:val="1"/>
          <w:numId w:val="1"/>
        </w:numPr>
        <w:contextualSpacing w:val="0"/>
        <w:textAlignment w:val="baseline"/>
        <w:rPr>
          <w:rFonts w:ascii="Times New Roman" w:eastAsiaTheme="minorEastAsia" w:hAnsi="Times New Roman"/>
          <w:b/>
          <w:bCs/>
        </w:rPr>
      </w:pPr>
      <w:r w:rsidRPr="007C6874">
        <w:rPr>
          <w:rFonts w:ascii="Times New Roman" w:eastAsiaTheme="minorEastAsia" w:hAnsi="Times New Roman"/>
          <w:b/>
          <w:bCs/>
        </w:rPr>
        <w:t xml:space="preserve">MPR defined in Table 6.2.2-1 along with the configured Tx power requirements stated in section 6.2.4 applies to UE power class 3 CA bandwidth classes B and C, </w:t>
      </w:r>
    </w:p>
    <w:p w14:paraId="5CD336C5" w14:textId="77777777" w:rsidR="00A4602F" w:rsidRPr="007C6874" w:rsidRDefault="00A4602F" w:rsidP="00A4602F">
      <w:pPr>
        <w:pStyle w:val="ListParagraph"/>
        <w:numPr>
          <w:ilvl w:val="1"/>
          <w:numId w:val="1"/>
        </w:numPr>
        <w:contextualSpacing w:val="0"/>
        <w:textAlignment w:val="baseline"/>
        <w:rPr>
          <w:rFonts w:ascii="Times New Roman" w:eastAsiaTheme="minorEastAsia" w:hAnsi="Times New Roman"/>
          <w:b/>
          <w:bCs/>
        </w:rPr>
      </w:pPr>
      <w:r w:rsidRPr="007C6874">
        <w:rPr>
          <w:rFonts w:ascii="Times New Roman" w:eastAsiaTheme="minorEastAsia" w:hAnsi="Times New Roman"/>
          <w:b/>
          <w:bCs/>
        </w:rPr>
        <w:t>MPR defined in Table 6.2D.2-1 along with theconfigured Tx power requirements stated in section 6.2D.4   applies to power class 2 CA bandwidth classes B and C when TxD capability is indicated.</w:t>
      </w:r>
    </w:p>
    <w:p w14:paraId="2DE90B7E" w14:textId="77777777" w:rsidR="00A4602F" w:rsidRPr="007C6874" w:rsidRDefault="00A4602F" w:rsidP="00A4602F">
      <w:pPr>
        <w:pStyle w:val="ListParagraph"/>
        <w:numPr>
          <w:ilvl w:val="1"/>
          <w:numId w:val="1"/>
        </w:numPr>
        <w:contextualSpacing w:val="0"/>
        <w:textAlignment w:val="baseline"/>
        <w:rPr>
          <w:rFonts w:ascii="Times New Roman" w:eastAsiaTheme="minorEastAsia" w:hAnsi="Times New Roman"/>
          <w:b/>
          <w:bCs/>
        </w:rPr>
      </w:pPr>
      <w:r w:rsidRPr="007C6874">
        <w:rPr>
          <w:rFonts w:ascii="Times New Roman" w:eastAsiaTheme="minorEastAsia" w:hAnsi="Times New Roman"/>
          <w:b/>
          <w:bCs/>
        </w:rPr>
        <w:t xml:space="preserve">MPR defined in Table 6.2.2-2 along with the configured Tx power requirements stated in section 6.2.4 applies for power class 2 CA bandwidth classes B and C when TxD capability is absent. </w:t>
      </w:r>
    </w:p>
    <w:p w14:paraId="606AB823" w14:textId="2D6E9A92" w:rsidR="00A4602F" w:rsidRPr="0047391B" w:rsidRDefault="00A4602F" w:rsidP="00A4602F">
      <w:pPr>
        <w:overflowPunct w:val="0"/>
        <w:autoSpaceDE w:val="0"/>
        <w:autoSpaceDN w:val="0"/>
        <w:adjustRightInd w:val="0"/>
        <w:spacing w:after="120"/>
        <w:textAlignment w:val="baseline"/>
        <w:rPr>
          <w:rFonts w:eastAsia="Times New Roman"/>
          <w:b/>
          <w:bCs/>
          <w:szCs w:val="24"/>
          <w:lang w:eastAsia="zh-CN"/>
        </w:rPr>
      </w:pPr>
      <w:r w:rsidRPr="0047391B">
        <w:rPr>
          <w:rFonts w:eastAsia="Times New Roman"/>
          <w:b/>
          <w:bCs/>
          <w:szCs w:val="24"/>
          <w:lang w:eastAsia="zh-CN"/>
        </w:rPr>
        <w:t>Proposal</w:t>
      </w:r>
      <w:r w:rsidR="00F95B07">
        <w:rPr>
          <w:rFonts w:eastAsia="Times New Roman"/>
          <w:b/>
          <w:bCs/>
          <w:szCs w:val="24"/>
          <w:lang w:eastAsia="zh-CN"/>
        </w:rPr>
        <w:t>#3</w:t>
      </w:r>
      <w:r w:rsidRPr="0047391B">
        <w:rPr>
          <w:rFonts w:eastAsia="Times New Roman"/>
          <w:b/>
          <w:bCs/>
          <w:szCs w:val="24"/>
          <w:lang w:eastAsia="zh-CN"/>
        </w:rPr>
        <w:t xml:space="preserve">: </w:t>
      </w:r>
      <w:r>
        <w:rPr>
          <w:rFonts w:eastAsia="Times New Roman"/>
          <w:b/>
          <w:bCs/>
          <w:szCs w:val="24"/>
          <w:lang w:eastAsia="zh-CN"/>
        </w:rPr>
        <w:t>When</w:t>
      </w:r>
      <w:r w:rsidRPr="0047391B">
        <w:rPr>
          <w:rFonts w:eastAsia="Times New Roman"/>
          <w:b/>
          <w:bCs/>
          <w:szCs w:val="24"/>
          <w:lang w:eastAsia="zh-CN"/>
        </w:rPr>
        <w:t xml:space="preserve"> only 1 CC is activated the aggregated BW for CA should be used for evaluating metrics such as </w:t>
      </w:r>
      <w:r>
        <w:rPr>
          <w:rFonts w:eastAsia="Times New Roman"/>
          <w:b/>
          <w:bCs/>
          <w:szCs w:val="24"/>
          <w:lang w:eastAsia="zh-CN"/>
        </w:rPr>
        <w:t>spurious emissions</w:t>
      </w:r>
      <w:r w:rsidRPr="0047391B">
        <w:rPr>
          <w:rFonts w:eastAsia="Times New Roman"/>
          <w:b/>
          <w:bCs/>
          <w:szCs w:val="24"/>
          <w:lang w:eastAsia="zh-CN"/>
        </w:rPr>
        <w:t>, SEM and ACLR</w:t>
      </w:r>
      <w:r>
        <w:rPr>
          <w:rFonts w:eastAsia="Times New Roman"/>
          <w:b/>
          <w:bCs/>
          <w:szCs w:val="24"/>
          <w:lang w:eastAsia="zh-CN"/>
        </w:rPr>
        <w:t>.</w:t>
      </w:r>
    </w:p>
    <w:p w14:paraId="79270EF9" w14:textId="5167519C" w:rsidR="00A4602F" w:rsidRPr="002A2371" w:rsidRDefault="00A4602F" w:rsidP="00A4602F">
      <w:pPr>
        <w:overflowPunct w:val="0"/>
        <w:autoSpaceDE w:val="0"/>
        <w:autoSpaceDN w:val="0"/>
        <w:adjustRightInd w:val="0"/>
        <w:spacing w:after="120"/>
        <w:textAlignment w:val="baseline"/>
        <w:rPr>
          <w:rFonts w:eastAsia="Times New Roman"/>
          <w:b/>
          <w:bCs/>
          <w:szCs w:val="24"/>
          <w:lang w:eastAsia="zh-CN"/>
        </w:rPr>
      </w:pPr>
      <w:r w:rsidRPr="002A2371">
        <w:rPr>
          <w:rFonts w:eastAsia="Times New Roman"/>
          <w:b/>
          <w:bCs/>
          <w:szCs w:val="24"/>
          <w:lang w:eastAsia="zh-CN"/>
        </w:rPr>
        <w:t>Proposal</w:t>
      </w:r>
      <w:r w:rsidR="00F95B07">
        <w:rPr>
          <w:rFonts w:eastAsia="Times New Roman"/>
          <w:b/>
          <w:bCs/>
          <w:szCs w:val="24"/>
          <w:lang w:eastAsia="zh-CN"/>
        </w:rPr>
        <w:t>#4</w:t>
      </w:r>
      <w:r w:rsidRPr="002A2371">
        <w:rPr>
          <w:rFonts w:eastAsia="Times New Roman"/>
          <w:b/>
          <w:bCs/>
          <w:szCs w:val="24"/>
          <w:lang w:eastAsia="zh-CN"/>
        </w:rPr>
        <w:t xml:space="preserve">: When 1 CC is activated the spurious emissions, ACLR and SEM specifications that </w:t>
      </w:r>
      <w:r w:rsidR="00716A50">
        <w:rPr>
          <w:rFonts w:eastAsia="Times New Roman"/>
          <w:b/>
          <w:bCs/>
          <w:szCs w:val="24"/>
          <w:lang w:eastAsia="zh-CN"/>
        </w:rPr>
        <w:t>apply are those</w:t>
      </w:r>
      <w:r w:rsidRPr="002A2371">
        <w:rPr>
          <w:rFonts w:eastAsia="Times New Roman"/>
          <w:b/>
          <w:bCs/>
          <w:szCs w:val="24"/>
          <w:lang w:eastAsia="zh-CN"/>
        </w:rPr>
        <w:t xml:space="preserve"> for the aggregated configured CBW</w:t>
      </w:r>
    </w:p>
    <w:p w14:paraId="6A7654C0" w14:textId="0C560FE7" w:rsidR="00A4602F" w:rsidRDefault="00A4602F" w:rsidP="00A4602F">
      <w:pPr>
        <w:rPr>
          <w:b/>
          <w:bCs/>
        </w:rPr>
      </w:pPr>
      <w:r w:rsidRPr="00D13D25">
        <w:rPr>
          <w:b/>
          <w:bCs/>
        </w:rPr>
        <w:t>Observation</w:t>
      </w:r>
      <w:r w:rsidR="00F95B07">
        <w:rPr>
          <w:b/>
          <w:bCs/>
        </w:rPr>
        <w:t>#3</w:t>
      </w:r>
      <w:r w:rsidRPr="00D13D25">
        <w:rPr>
          <w:b/>
          <w:bCs/>
        </w:rPr>
        <w:t xml:space="preserve">: For </w:t>
      </w:r>
      <w:r w:rsidRPr="00FE0599">
        <w:rPr>
          <w:b/>
          <w:bCs/>
        </w:rPr>
        <w:t xml:space="preserve">PC3 and PC2 </w:t>
      </w:r>
      <w:r w:rsidRPr="00D13D25">
        <w:rPr>
          <w:b/>
          <w:bCs/>
        </w:rPr>
        <w:t xml:space="preserve">intra-band non-contiguous CA the standard already accounts for </w:t>
      </w:r>
      <w:r>
        <w:rPr>
          <w:b/>
          <w:bCs/>
        </w:rPr>
        <w:t xml:space="preserve">using the single CC MPR tables when </w:t>
      </w:r>
      <w:r w:rsidRPr="00D13D25">
        <w:rPr>
          <w:b/>
          <w:bCs/>
        </w:rPr>
        <w:t>only one CC is scheduled.</w:t>
      </w:r>
    </w:p>
    <w:p w14:paraId="589E31F9" w14:textId="20B0E17E" w:rsidR="00A4602F" w:rsidRPr="00712D8C" w:rsidRDefault="00A4602F" w:rsidP="00A4602F">
      <w:pPr>
        <w:rPr>
          <w:b/>
          <w:bCs/>
        </w:rPr>
      </w:pPr>
      <w:r>
        <w:rPr>
          <w:b/>
          <w:bCs/>
        </w:rPr>
        <w:t>Proposal</w:t>
      </w:r>
      <w:r w:rsidR="00F95B07">
        <w:rPr>
          <w:b/>
          <w:bCs/>
        </w:rPr>
        <w:t>#</w:t>
      </w:r>
      <w:r w:rsidR="00876378">
        <w:rPr>
          <w:b/>
          <w:bCs/>
        </w:rPr>
        <w:t>5</w:t>
      </w:r>
      <w:r>
        <w:rPr>
          <w:b/>
          <w:bCs/>
        </w:rPr>
        <w:t xml:space="preserve">: For </w:t>
      </w:r>
      <w:r w:rsidRPr="00FE0599">
        <w:rPr>
          <w:b/>
          <w:bCs/>
        </w:rPr>
        <w:t xml:space="preserve">PC3 and PC2 </w:t>
      </w:r>
      <w:r>
        <w:rPr>
          <w:b/>
          <w:bCs/>
        </w:rPr>
        <w:t>intra-band non-contiguous CA as the standard already accounts for the use of the single CC MPR tables when only 1 CC is scheduled no further changes to the standard are required.</w:t>
      </w:r>
      <w:r w:rsidRPr="00FE0599">
        <w:rPr>
          <w:b/>
          <w:bCs/>
        </w:rPr>
        <w:t xml:space="preserve"> </w:t>
      </w:r>
    </w:p>
    <w:p w14:paraId="781E17F0" w14:textId="388A7DDA" w:rsidR="00A01813" w:rsidRPr="00331888" w:rsidRDefault="00A4602F" w:rsidP="00A01813">
      <w:pPr>
        <w:overflowPunct w:val="0"/>
        <w:autoSpaceDE w:val="0"/>
        <w:autoSpaceDN w:val="0"/>
        <w:adjustRightInd w:val="0"/>
        <w:spacing w:after="120"/>
        <w:textAlignment w:val="baseline"/>
        <w:rPr>
          <w:rFonts w:eastAsia="Times New Roman"/>
          <w:b/>
          <w:bCs/>
          <w:szCs w:val="24"/>
          <w:lang w:eastAsia="zh-CN"/>
        </w:rPr>
      </w:pPr>
      <w:r>
        <w:rPr>
          <w:rFonts w:eastAsia="Times New Roman"/>
          <w:b/>
          <w:bCs/>
          <w:szCs w:val="24"/>
          <w:lang w:eastAsia="zh-CN"/>
        </w:rPr>
        <w:lastRenderedPageBreak/>
        <w:t>Observation</w:t>
      </w:r>
      <w:r w:rsidR="00F7312E">
        <w:rPr>
          <w:rFonts w:eastAsia="Times New Roman"/>
          <w:b/>
          <w:bCs/>
          <w:szCs w:val="24"/>
          <w:lang w:eastAsia="zh-CN"/>
        </w:rPr>
        <w:t>#4</w:t>
      </w:r>
      <w:r>
        <w:rPr>
          <w:rFonts w:eastAsia="Times New Roman"/>
          <w:b/>
          <w:bCs/>
          <w:szCs w:val="24"/>
          <w:lang w:eastAsia="zh-CN"/>
        </w:rPr>
        <w:t>: The exceptions stated in section 6.2A.2.2.</w:t>
      </w:r>
      <w:r w:rsidRPr="00A01813">
        <w:rPr>
          <w:rFonts w:eastAsia="Times New Roman"/>
          <w:b/>
          <w:bCs/>
          <w:szCs w:val="24"/>
          <w:lang w:eastAsia="zh-CN"/>
        </w:rPr>
        <w:t xml:space="preserve">0 </w:t>
      </w:r>
      <w:r w:rsidRPr="00A01813">
        <w:rPr>
          <w:b/>
          <w:bCs/>
        </w:rPr>
        <w:t>for the cases when B&lt; 9MHz or 11.52MHz and MPR is set to either 5.5 dB or 6.5 dB for PC3 and PC2 respectively is to meet the -30 dBm/MHz emissions requirement</w:t>
      </w:r>
      <w:r>
        <w:rPr>
          <w:b/>
          <w:bCs/>
        </w:rPr>
        <w:t>.</w:t>
      </w:r>
    </w:p>
    <w:p w14:paraId="2B2472D1" w14:textId="1E80ACA8" w:rsidR="00011F96" w:rsidRDefault="00011F96" w:rsidP="51CE5961">
      <w:pPr>
        <w:pStyle w:val="Heading1"/>
        <w:rPr>
          <w:b/>
          <w:bCs/>
        </w:rPr>
      </w:pPr>
      <w:r>
        <w:t>References</w:t>
      </w:r>
    </w:p>
    <w:p w14:paraId="1D2E4ABF" w14:textId="10E0A47D" w:rsidR="00D32DDA" w:rsidRDefault="00011F96" w:rsidP="005077A3">
      <w:pPr>
        <w:tabs>
          <w:tab w:val="left" w:pos="1985"/>
        </w:tabs>
        <w:jc w:val="both"/>
        <w:rPr>
          <w:lang w:eastAsia="ko-KR"/>
        </w:rPr>
      </w:pPr>
      <w:r>
        <w:rPr>
          <w:lang w:eastAsia="ko-KR"/>
        </w:rPr>
        <w:t xml:space="preserve">[1] </w:t>
      </w:r>
      <w:r w:rsidR="00C37169">
        <w:rPr>
          <w:lang w:eastAsia="ko-KR"/>
        </w:rPr>
        <w:t>R</w:t>
      </w:r>
      <w:r w:rsidR="00AF47E8">
        <w:rPr>
          <w:lang w:eastAsia="ko-KR"/>
        </w:rPr>
        <w:t>4</w:t>
      </w:r>
      <w:r w:rsidR="00C37169">
        <w:rPr>
          <w:lang w:eastAsia="ko-KR"/>
        </w:rPr>
        <w:t>-2</w:t>
      </w:r>
      <w:r w:rsidR="00AF47E8">
        <w:rPr>
          <w:lang w:eastAsia="ko-KR"/>
        </w:rPr>
        <w:t>41</w:t>
      </w:r>
      <w:r w:rsidR="00144800">
        <w:rPr>
          <w:lang w:eastAsia="ko-KR"/>
        </w:rPr>
        <w:t>4441</w:t>
      </w:r>
      <w:r w:rsidR="00C37169">
        <w:rPr>
          <w:lang w:eastAsia="ko-KR"/>
        </w:rPr>
        <w:t xml:space="preserve">, </w:t>
      </w:r>
      <w:r w:rsidR="00AF47E8">
        <w:rPr>
          <w:lang w:eastAsia="ko-KR"/>
        </w:rPr>
        <w:t>WF on power domain enhancements</w:t>
      </w:r>
      <w:r w:rsidR="00C37169">
        <w:rPr>
          <w:lang w:eastAsia="ko-KR"/>
        </w:rPr>
        <w:t>,</w:t>
      </w:r>
      <w:r w:rsidR="00AF47E8">
        <w:rPr>
          <w:lang w:eastAsia="ko-KR"/>
        </w:rPr>
        <w:t xml:space="preserve"> </w:t>
      </w:r>
      <w:r w:rsidR="002239EA">
        <w:rPr>
          <w:lang w:eastAsia="ko-KR"/>
        </w:rPr>
        <w:t>August 19</w:t>
      </w:r>
      <w:r w:rsidR="002239EA" w:rsidRPr="002239EA">
        <w:rPr>
          <w:vertAlign w:val="superscript"/>
          <w:lang w:eastAsia="ko-KR"/>
        </w:rPr>
        <w:t>th</w:t>
      </w:r>
      <w:r w:rsidR="002239EA">
        <w:rPr>
          <w:lang w:eastAsia="ko-KR"/>
        </w:rPr>
        <w:t xml:space="preserve"> – August 23</w:t>
      </w:r>
      <w:r w:rsidR="00BE4D94">
        <w:rPr>
          <w:lang w:eastAsia="ko-KR"/>
        </w:rPr>
        <w:t>rd,</w:t>
      </w:r>
      <w:r w:rsidR="000E705B">
        <w:rPr>
          <w:lang w:eastAsia="ko-KR"/>
        </w:rPr>
        <w:t xml:space="preserve"> 202</w:t>
      </w:r>
      <w:r w:rsidR="00AF47E8">
        <w:rPr>
          <w:lang w:eastAsia="ko-KR"/>
        </w:rPr>
        <w:t>4</w:t>
      </w:r>
    </w:p>
    <w:p w14:paraId="3275E243" w14:textId="685172A3" w:rsidR="006B21BE" w:rsidRDefault="00A705D7" w:rsidP="006B21BE">
      <w:pPr>
        <w:tabs>
          <w:tab w:val="left" w:pos="1985"/>
        </w:tabs>
        <w:jc w:val="both"/>
        <w:rPr>
          <w:lang w:eastAsia="ko-KR"/>
        </w:rPr>
      </w:pPr>
      <w:r>
        <w:rPr>
          <w:lang w:eastAsia="ko-KR"/>
        </w:rPr>
        <w:t>[</w:t>
      </w:r>
      <w:r w:rsidR="002F4A15">
        <w:rPr>
          <w:lang w:eastAsia="ko-KR"/>
        </w:rPr>
        <w:t>2</w:t>
      </w:r>
      <w:r>
        <w:rPr>
          <w:lang w:eastAsia="ko-KR"/>
        </w:rPr>
        <w:t>] TS38.101-1</w:t>
      </w:r>
      <w:r w:rsidR="008E4A9B">
        <w:rPr>
          <w:lang w:eastAsia="ko-KR"/>
        </w:rPr>
        <w:t xml:space="preserve">, </w:t>
      </w:r>
      <w:r w:rsidR="006B21BE" w:rsidRPr="006B21BE">
        <w:rPr>
          <w:lang w:eastAsia="ko-KR"/>
        </w:rPr>
        <w:t xml:space="preserve">User Equipment (UE) radio transmission and reception; Part 1: Range 1 Standalone, </w:t>
      </w:r>
      <w:r w:rsidR="00EC1510">
        <w:rPr>
          <w:lang w:eastAsia="ko-KR"/>
        </w:rPr>
        <w:t>V18.6.0</w:t>
      </w:r>
    </w:p>
    <w:p w14:paraId="7BA8784F" w14:textId="5D753D1D" w:rsidR="00EE5820" w:rsidRPr="006B21BE" w:rsidRDefault="00EE5820" w:rsidP="006B21BE">
      <w:pPr>
        <w:tabs>
          <w:tab w:val="left" w:pos="1985"/>
        </w:tabs>
        <w:jc w:val="both"/>
        <w:rPr>
          <w:lang w:eastAsia="ko-KR"/>
        </w:rPr>
      </w:pPr>
      <w:r>
        <w:rPr>
          <w:lang w:eastAsia="ko-KR"/>
        </w:rPr>
        <w:t>[3]</w:t>
      </w:r>
      <w:r w:rsidR="00916CC7">
        <w:rPr>
          <w:lang w:eastAsia="ko-KR"/>
        </w:rPr>
        <w:t xml:space="preserve"> R4-2204225, </w:t>
      </w:r>
      <w:r w:rsidR="007F0542" w:rsidRPr="003D7F1C">
        <w:rPr>
          <w:lang w:eastAsia="ko-KR"/>
        </w:rPr>
        <w:t>1CC fall-back MPR for NC UL CA with 1LO architecture, February 21st – March 3rd, 20</w:t>
      </w:r>
      <w:r w:rsidR="003D7F1C" w:rsidRPr="003D7F1C">
        <w:rPr>
          <w:lang w:eastAsia="ko-KR"/>
        </w:rPr>
        <w:t>22</w:t>
      </w:r>
    </w:p>
    <w:p w14:paraId="1ECAB4B9" w14:textId="6F75FA6E" w:rsidR="00A705D7" w:rsidRPr="00CA428E" w:rsidRDefault="00A705D7" w:rsidP="00CA428E">
      <w:pPr>
        <w:tabs>
          <w:tab w:val="left" w:pos="1985"/>
        </w:tabs>
        <w:jc w:val="both"/>
        <w:rPr>
          <w:lang w:eastAsia="ko-KR"/>
        </w:rPr>
      </w:pPr>
    </w:p>
    <w:p w14:paraId="1A86AB7D" w14:textId="3224B3F5" w:rsidR="00CA428E" w:rsidRDefault="00CA428E" w:rsidP="00D32DDA">
      <w:pPr>
        <w:rPr>
          <w:lang w:eastAsia="ko-KR"/>
        </w:rPr>
      </w:pPr>
    </w:p>
    <w:p w14:paraId="6E83F375" w14:textId="6C2FC878" w:rsidR="0006017F" w:rsidRPr="00B5430F" w:rsidRDefault="0006017F" w:rsidP="00B5430F">
      <w:pPr>
        <w:rPr>
          <w:lang w:eastAsia="ko-KR"/>
        </w:rPr>
      </w:pPr>
    </w:p>
    <w:sectPr w:rsidR="0006017F" w:rsidRPr="00B5430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 w15:restartNumberingAfterBreak="0">
    <w:nsid w:val="630218E1"/>
    <w:multiLevelType w:val="hybridMultilevel"/>
    <w:tmpl w:val="456E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3932097">
    <w:abstractNumId w:val="1"/>
  </w:num>
  <w:num w:numId="2" w16cid:durableId="1036857466">
    <w:abstractNumId w:val="0"/>
  </w:num>
  <w:num w:numId="3" w16cid:durableId="513541485">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2B95"/>
    <w:rsid w:val="000035D7"/>
    <w:rsid w:val="000038E9"/>
    <w:rsid w:val="000042E1"/>
    <w:rsid w:val="000046A6"/>
    <w:rsid w:val="00004EB2"/>
    <w:rsid w:val="000065A7"/>
    <w:rsid w:val="00010B50"/>
    <w:rsid w:val="0001122D"/>
    <w:rsid w:val="00011F96"/>
    <w:rsid w:val="00012084"/>
    <w:rsid w:val="00012B2B"/>
    <w:rsid w:val="0001362F"/>
    <w:rsid w:val="000144D7"/>
    <w:rsid w:val="00014A9E"/>
    <w:rsid w:val="00016EF1"/>
    <w:rsid w:val="00017352"/>
    <w:rsid w:val="000175AC"/>
    <w:rsid w:val="0002131C"/>
    <w:rsid w:val="00021CED"/>
    <w:rsid w:val="000227F1"/>
    <w:rsid w:val="00022941"/>
    <w:rsid w:val="00022FE6"/>
    <w:rsid w:val="000235E9"/>
    <w:rsid w:val="00025038"/>
    <w:rsid w:val="00026030"/>
    <w:rsid w:val="0002618A"/>
    <w:rsid w:val="00026232"/>
    <w:rsid w:val="000262B9"/>
    <w:rsid w:val="00026430"/>
    <w:rsid w:val="00026B95"/>
    <w:rsid w:val="000302DC"/>
    <w:rsid w:val="00030634"/>
    <w:rsid w:val="00031D75"/>
    <w:rsid w:val="0003206A"/>
    <w:rsid w:val="00032669"/>
    <w:rsid w:val="00033841"/>
    <w:rsid w:val="000339AA"/>
    <w:rsid w:val="000355B5"/>
    <w:rsid w:val="0003684D"/>
    <w:rsid w:val="00037755"/>
    <w:rsid w:val="00037A84"/>
    <w:rsid w:val="00040D07"/>
    <w:rsid w:val="000414D9"/>
    <w:rsid w:val="0004168E"/>
    <w:rsid w:val="00042321"/>
    <w:rsid w:val="000432AD"/>
    <w:rsid w:val="000432E4"/>
    <w:rsid w:val="0004332E"/>
    <w:rsid w:val="000434EC"/>
    <w:rsid w:val="00043B93"/>
    <w:rsid w:val="000442DB"/>
    <w:rsid w:val="00044E4C"/>
    <w:rsid w:val="000454A9"/>
    <w:rsid w:val="0004568E"/>
    <w:rsid w:val="000463AE"/>
    <w:rsid w:val="00046DDD"/>
    <w:rsid w:val="000471E8"/>
    <w:rsid w:val="0005168A"/>
    <w:rsid w:val="000517DE"/>
    <w:rsid w:val="0005283C"/>
    <w:rsid w:val="000534E9"/>
    <w:rsid w:val="00053C87"/>
    <w:rsid w:val="0005452D"/>
    <w:rsid w:val="000547BC"/>
    <w:rsid w:val="00055CC6"/>
    <w:rsid w:val="0006017F"/>
    <w:rsid w:val="00060ECE"/>
    <w:rsid w:val="0006136D"/>
    <w:rsid w:val="00062E39"/>
    <w:rsid w:val="000634C9"/>
    <w:rsid w:val="00063E2B"/>
    <w:rsid w:val="00063F50"/>
    <w:rsid w:val="00064362"/>
    <w:rsid w:val="0006436E"/>
    <w:rsid w:val="00064C6C"/>
    <w:rsid w:val="00065FBC"/>
    <w:rsid w:val="000663D7"/>
    <w:rsid w:val="00066E80"/>
    <w:rsid w:val="00070AD8"/>
    <w:rsid w:val="00071F9C"/>
    <w:rsid w:val="00072A56"/>
    <w:rsid w:val="00073894"/>
    <w:rsid w:val="00074F22"/>
    <w:rsid w:val="00075C42"/>
    <w:rsid w:val="000775CB"/>
    <w:rsid w:val="000775CD"/>
    <w:rsid w:val="00077D6C"/>
    <w:rsid w:val="00077DD8"/>
    <w:rsid w:val="00077EB3"/>
    <w:rsid w:val="000811C5"/>
    <w:rsid w:val="00084322"/>
    <w:rsid w:val="000872D5"/>
    <w:rsid w:val="000905CC"/>
    <w:rsid w:val="000908D9"/>
    <w:rsid w:val="0009140F"/>
    <w:rsid w:val="00092AF8"/>
    <w:rsid w:val="00093E12"/>
    <w:rsid w:val="0009467F"/>
    <w:rsid w:val="00095365"/>
    <w:rsid w:val="000954A5"/>
    <w:rsid w:val="00095704"/>
    <w:rsid w:val="00095874"/>
    <w:rsid w:val="00097642"/>
    <w:rsid w:val="000A04B5"/>
    <w:rsid w:val="000A10D8"/>
    <w:rsid w:val="000A1BEF"/>
    <w:rsid w:val="000A24E2"/>
    <w:rsid w:val="000A2835"/>
    <w:rsid w:val="000A39AB"/>
    <w:rsid w:val="000A3E2A"/>
    <w:rsid w:val="000A419C"/>
    <w:rsid w:val="000A4CEF"/>
    <w:rsid w:val="000A4EF7"/>
    <w:rsid w:val="000A567D"/>
    <w:rsid w:val="000A643B"/>
    <w:rsid w:val="000A6859"/>
    <w:rsid w:val="000A6BC3"/>
    <w:rsid w:val="000A7694"/>
    <w:rsid w:val="000B0067"/>
    <w:rsid w:val="000B034F"/>
    <w:rsid w:val="000B03AB"/>
    <w:rsid w:val="000B05DA"/>
    <w:rsid w:val="000B0605"/>
    <w:rsid w:val="000B0AD1"/>
    <w:rsid w:val="000B1232"/>
    <w:rsid w:val="000B350B"/>
    <w:rsid w:val="000B4623"/>
    <w:rsid w:val="000B4A88"/>
    <w:rsid w:val="000B4F74"/>
    <w:rsid w:val="000B6A7A"/>
    <w:rsid w:val="000B6D1E"/>
    <w:rsid w:val="000B70E5"/>
    <w:rsid w:val="000B7218"/>
    <w:rsid w:val="000C000B"/>
    <w:rsid w:val="000C0457"/>
    <w:rsid w:val="000C0E8C"/>
    <w:rsid w:val="000C1E64"/>
    <w:rsid w:val="000C23B3"/>
    <w:rsid w:val="000C2818"/>
    <w:rsid w:val="000C2883"/>
    <w:rsid w:val="000C34D1"/>
    <w:rsid w:val="000C39B0"/>
    <w:rsid w:val="000C467D"/>
    <w:rsid w:val="000C54C4"/>
    <w:rsid w:val="000C5C30"/>
    <w:rsid w:val="000C60D1"/>
    <w:rsid w:val="000C62EC"/>
    <w:rsid w:val="000C678D"/>
    <w:rsid w:val="000C6C14"/>
    <w:rsid w:val="000C6DF1"/>
    <w:rsid w:val="000D04EA"/>
    <w:rsid w:val="000D0626"/>
    <w:rsid w:val="000D06A8"/>
    <w:rsid w:val="000D0FE7"/>
    <w:rsid w:val="000D1394"/>
    <w:rsid w:val="000D18DA"/>
    <w:rsid w:val="000D18EC"/>
    <w:rsid w:val="000D1E9D"/>
    <w:rsid w:val="000D2128"/>
    <w:rsid w:val="000D27E5"/>
    <w:rsid w:val="000D31EF"/>
    <w:rsid w:val="000D406F"/>
    <w:rsid w:val="000D4A0A"/>
    <w:rsid w:val="000D5589"/>
    <w:rsid w:val="000E0A10"/>
    <w:rsid w:val="000E2384"/>
    <w:rsid w:val="000E26BD"/>
    <w:rsid w:val="000E401F"/>
    <w:rsid w:val="000E406C"/>
    <w:rsid w:val="000E409E"/>
    <w:rsid w:val="000E4512"/>
    <w:rsid w:val="000E47AF"/>
    <w:rsid w:val="000E596C"/>
    <w:rsid w:val="000E5A21"/>
    <w:rsid w:val="000E62A6"/>
    <w:rsid w:val="000E631C"/>
    <w:rsid w:val="000E6725"/>
    <w:rsid w:val="000E6F15"/>
    <w:rsid w:val="000E705B"/>
    <w:rsid w:val="000E7126"/>
    <w:rsid w:val="000E7763"/>
    <w:rsid w:val="000E782B"/>
    <w:rsid w:val="000E7C89"/>
    <w:rsid w:val="000F0287"/>
    <w:rsid w:val="000F1498"/>
    <w:rsid w:val="000F3568"/>
    <w:rsid w:val="000F3816"/>
    <w:rsid w:val="000F3B09"/>
    <w:rsid w:val="000F4EC3"/>
    <w:rsid w:val="000F4FB3"/>
    <w:rsid w:val="000F502F"/>
    <w:rsid w:val="000F519D"/>
    <w:rsid w:val="000F5BEC"/>
    <w:rsid w:val="000F5D8A"/>
    <w:rsid w:val="000F62DE"/>
    <w:rsid w:val="000F65D1"/>
    <w:rsid w:val="000F7340"/>
    <w:rsid w:val="000F7B37"/>
    <w:rsid w:val="000F7ECB"/>
    <w:rsid w:val="000F7EDC"/>
    <w:rsid w:val="00100A22"/>
    <w:rsid w:val="00100B99"/>
    <w:rsid w:val="001015AF"/>
    <w:rsid w:val="001029C9"/>
    <w:rsid w:val="00102C0E"/>
    <w:rsid w:val="00103130"/>
    <w:rsid w:val="001045A2"/>
    <w:rsid w:val="00104902"/>
    <w:rsid w:val="001056FC"/>
    <w:rsid w:val="00105915"/>
    <w:rsid w:val="0010618D"/>
    <w:rsid w:val="00106663"/>
    <w:rsid w:val="001072E4"/>
    <w:rsid w:val="00107C40"/>
    <w:rsid w:val="00107D48"/>
    <w:rsid w:val="0011039B"/>
    <w:rsid w:val="00110C3A"/>
    <w:rsid w:val="00111F11"/>
    <w:rsid w:val="00112950"/>
    <w:rsid w:val="00112B5D"/>
    <w:rsid w:val="00113ED2"/>
    <w:rsid w:val="00114581"/>
    <w:rsid w:val="00114B9B"/>
    <w:rsid w:val="00115F61"/>
    <w:rsid w:val="00116429"/>
    <w:rsid w:val="0011648E"/>
    <w:rsid w:val="001172EE"/>
    <w:rsid w:val="00117891"/>
    <w:rsid w:val="00120A09"/>
    <w:rsid w:val="001214AE"/>
    <w:rsid w:val="0012188A"/>
    <w:rsid w:val="00122190"/>
    <w:rsid w:val="001221C9"/>
    <w:rsid w:val="0012277A"/>
    <w:rsid w:val="001229AF"/>
    <w:rsid w:val="00122F12"/>
    <w:rsid w:val="0012315C"/>
    <w:rsid w:val="0012444A"/>
    <w:rsid w:val="0012482F"/>
    <w:rsid w:val="00125CF4"/>
    <w:rsid w:val="0012615B"/>
    <w:rsid w:val="00126540"/>
    <w:rsid w:val="0012668A"/>
    <w:rsid w:val="00126A48"/>
    <w:rsid w:val="00126E1A"/>
    <w:rsid w:val="00131AFF"/>
    <w:rsid w:val="00133349"/>
    <w:rsid w:val="001339B5"/>
    <w:rsid w:val="00133B55"/>
    <w:rsid w:val="00133EAD"/>
    <w:rsid w:val="001348A3"/>
    <w:rsid w:val="001351EB"/>
    <w:rsid w:val="0013571E"/>
    <w:rsid w:val="00135A74"/>
    <w:rsid w:val="00135BA1"/>
    <w:rsid w:val="00137387"/>
    <w:rsid w:val="0013784F"/>
    <w:rsid w:val="001408DD"/>
    <w:rsid w:val="00140F10"/>
    <w:rsid w:val="0014116A"/>
    <w:rsid w:val="0014180B"/>
    <w:rsid w:val="00141DFA"/>
    <w:rsid w:val="001429F4"/>
    <w:rsid w:val="001433BC"/>
    <w:rsid w:val="00144800"/>
    <w:rsid w:val="00144933"/>
    <w:rsid w:val="00144F7C"/>
    <w:rsid w:val="00144FBC"/>
    <w:rsid w:val="00144FDD"/>
    <w:rsid w:val="00144FF3"/>
    <w:rsid w:val="001458BD"/>
    <w:rsid w:val="0014604E"/>
    <w:rsid w:val="001463F1"/>
    <w:rsid w:val="00146857"/>
    <w:rsid w:val="00147780"/>
    <w:rsid w:val="00147820"/>
    <w:rsid w:val="001512D7"/>
    <w:rsid w:val="0015336A"/>
    <w:rsid w:val="001536F3"/>
    <w:rsid w:val="00153C3C"/>
    <w:rsid w:val="00153DAC"/>
    <w:rsid w:val="0015406D"/>
    <w:rsid w:val="00154340"/>
    <w:rsid w:val="00155ECF"/>
    <w:rsid w:val="00156359"/>
    <w:rsid w:val="001573DA"/>
    <w:rsid w:val="001600C2"/>
    <w:rsid w:val="00160B75"/>
    <w:rsid w:val="00161C73"/>
    <w:rsid w:val="00163246"/>
    <w:rsid w:val="00164349"/>
    <w:rsid w:val="00165C40"/>
    <w:rsid w:val="00165DC5"/>
    <w:rsid w:val="00166494"/>
    <w:rsid w:val="00166503"/>
    <w:rsid w:val="00166E70"/>
    <w:rsid w:val="001672C3"/>
    <w:rsid w:val="00170DB5"/>
    <w:rsid w:val="00171914"/>
    <w:rsid w:val="001726AD"/>
    <w:rsid w:val="0017350E"/>
    <w:rsid w:val="0017424F"/>
    <w:rsid w:val="001746C6"/>
    <w:rsid w:val="00176A07"/>
    <w:rsid w:val="00176F98"/>
    <w:rsid w:val="00177236"/>
    <w:rsid w:val="00177316"/>
    <w:rsid w:val="00180293"/>
    <w:rsid w:val="0018073A"/>
    <w:rsid w:val="00180BAA"/>
    <w:rsid w:val="0018136B"/>
    <w:rsid w:val="001821DC"/>
    <w:rsid w:val="00182ACA"/>
    <w:rsid w:val="0018383E"/>
    <w:rsid w:val="0018466B"/>
    <w:rsid w:val="0018484B"/>
    <w:rsid w:val="00184C06"/>
    <w:rsid w:val="00184E1B"/>
    <w:rsid w:val="001851D4"/>
    <w:rsid w:val="00185F2B"/>
    <w:rsid w:val="001874CF"/>
    <w:rsid w:val="00187F01"/>
    <w:rsid w:val="00190F5F"/>
    <w:rsid w:val="00191128"/>
    <w:rsid w:val="0019181E"/>
    <w:rsid w:val="0019182F"/>
    <w:rsid w:val="0019191F"/>
    <w:rsid w:val="00192766"/>
    <w:rsid w:val="001927C1"/>
    <w:rsid w:val="00193A3A"/>
    <w:rsid w:val="00194778"/>
    <w:rsid w:val="00194BE7"/>
    <w:rsid w:val="00195F51"/>
    <w:rsid w:val="00196027"/>
    <w:rsid w:val="001965EF"/>
    <w:rsid w:val="00196AD3"/>
    <w:rsid w:val="0019740A"/>
    <w:rsid w:val="0019779C"/>
    <w:rsid w:val="001A04C4"/>
    <w:rsid w:val="001A082B"/>
    <w:rsid w:val="001A09A7"/>
    <w:rsid w:val="001A0E0F"/>
    <w:rsid w:val="001A0F25"/>
    <w:rsid w:val="001A292A"/>
    <w:rsid w:val="001A2964"/>
    <w:rsid w:val="001A2F46"/>
    <w:rsid w:val="001A326A"/>
    <w:rsid w:val="001A5692"/>
    <w:rsid w:val="001A65CD"/>
    <w:rsid w:val="001A6F61"/>
    <w:rsid w:val="001A6F7A"/>
    <w:rsid w:val="001B14A5"/>
    <w:rsid w:val="001B1A95"/>
    <w:rsid w:val="001B1AE2"/>
    <w:rsid w:val="001B2056"/>
    <w:rsid w:val="001B21BD"/>
    <w:rsid w:val="001B2DCA"/>
    <w:rsid w:val="001B2F9A"/>
    <w:rsid w:val="001B3183"/>
    <w:rsid w:val="001B3A55"/>
    <w:rsid w:val="001B3D38"/>
    <w:rsid w:val="001B4D29"/>
    <w:rsid w:val="001B4EBE"/>
    <w:rsid w:val="001B515F"/>
    <w:rsid w:val="001B5D24"/>
    <w:rsid w:val="001B729C"/>
    <w:rsid w:val="001B7369"/>
    <w:rsid w:val="001B746E"/>
    <w:rsid w:val="001C34E6"/>
    <w:rsid w:val="001C3F31"/>
    <w:rsid w:val="001C463D"/>
    <w:rsid w:val="001C4DEE"/>
    <w:rsid w:val="001C54B6"/>
    <w:rsid w:val="001C6513"/>
    <w:rsid w:val="001D0FF1"/>
    <w:rsid w:val="001D12E4"/>
    <w:rsid w:val="001D148D"/>
    <w:rsid w:val="001D2C8E"/>
    <w:rsid w:val="001D2DE2"/>
    <w:rsid w:val="001D3138"/>
    <w:rsid w:val="001D4399"/>
    <w:rsid w:val="001D473C"/>
    <w:rsid w:val="001D4948"/>
    <w:rsid w:val="001D4A19"/>
    <w:rsid w:val="001D50F8"/>
    <w:rsid w:val="001D5F81"/>
    <w:rsid w:val="001D633E"/>
    <w:rsid w:val="001D6848"/>
    <w:rsid w:val="001D6ACD"/>
    <w:rsid w:val="001E21C9"/>
    <w:rsid w:val="001E2C33"/>
    <w:rsid w:val="001E300C"/>
    <w:rsid w:val="001E3932"/>
    <w:rsid w:val="001E3B48"/>
    <w:rsid w:val="001E4305"/>
    <w:rsid w:val="001E45A6"/>
    <w:rsid w:val="001E58DA"/>
    <w:rsid w:val="001E5D2B"/>
    <w:rsid w:val="001E5EAD"/>
    <w:rsid w:val="001E5F31"/>
    <w:rsid w:val="001E65C4"/>
    <w:rsid w:val="001E7920"/>
    <w:rsid w:val="001E7EAC"/>
    <w:rsid w:val="001F0314"/>
    <w:rsid w:val="001F03D8"/>
    <w:rsid w:val="001F0AC5"/>
    <w:rsid w:val="001F12F9"/>
    <w:rsid w:val="001F1D67"/>
    <w:rsid w:val="001F212F"/>
    <w:rsid w:val="001F271E"/>
    <w:rsid w:val="001F3A97"/>
    <w:rsid w:val="001F5607"/>
    <w:rsid w:val="001F5D46"/>
    <w:rsid w:val="001F5F77"/>
    <w:rsid w:val="001F62BD"/>
    <w:rsid w:val="001F764D"/>
    <w:rsid w:val="00200596"/>
    <w:rsid w:val="00201520"/>
    <w:rsid w:val="00201652"/>
    <w:rsid w:val="00201E01"/>
    <w:rsid w:val="00201FB4"/>
    <w:rsid w:val="002023A4"/>
    <w:rsid w:val="002028B1"/>
    <w:rsid w:val="00202E77"/>
    <w:rsid w:val="0020322D"/>
    <w:rsid w:val="002037B6"/>
    <w:rsid w:val="00203D36"/>
    <w:rsid w:val="002045F4"/>
    <w:rsid w:val="00205285"/>
    <w:rsid w:val="00206A2B"/>
    <w:rsid w:val="002071A9"/>
    <w:rsid w:val="00210CCB"/>
    <w:rsid w:val="00210F4B"/>
    <w:rsid w:val="00211DCE"/>
    <w:rsid w:val="00212136"/>
    <w:rsid w:val="00213CB0"/>
    <w:rsid w:val="0021441B"/>
    <w:rsid w:val="00214B13"/>
    <w:rsid w:val="00214DDD"/>
    <w:rsid w:val="00214FE2"/>
    <w:rsid w:val="002151EE"/>
    <w:rsid w:val="00215772"/>
    <w:rsid w:val="00215DB2"/>
    <w:rsid w:val="00216428"/>
    <w:rsid w:val="002167A7"/>
    <w:rsid w:val="002175EE"/>
    <w:rsid w:val="0021777A"/>
    <w:rsid w:val="00217E95"/>
    <w:rsid w:val="00221917"/>
    <w:rsid w:val="00222D56"/>
    <w:rsid w:val="00222D66"/>
    <w:rsid w:val="002238F9"/>
    <w:rsid w:val="002239EA"/>
    <w:rsid w:val="00223C9F"/>
    <w:rsid w:val="00224FCC"/>
    <w:rsid w:val="00225E53"/>
    <w:rsid w:val="002267B2"/>
    <w:rsid w:val="00226A8C"/>
    <w:rsid w:val="00227148"/>
    <w:rsid w:val="002272D3"/>
    <w:rsid w:val="0022781D"/>
    <w:rsid w:val="002314BC"/>
    <w:rsid w:val="00232503"/>
    <w:rsid w:val="002326CA"/>
    <w:rsid w:val="00233F50"/>
    <w:rsid w:val="00235046"/>
    <w:rsid w:val="002350B8"/>
    <w:rsid w:val="00236CB7"/>
    <w:rsid w:val="0023778F"/>
    <w:rsid w:val="002414AB"/>
    <w:rsid w:val="0024176F"/>
    <w:rsid w:val="00241773"/>
    <w:rsid w:val="002438F0"/>
    <w:rsid w:val="00244785"/>
    <w:rsid w:val="0024511B"/>
    <w:rsid w:val="00245D35"/>
    <w:rsid w:val="00245EA3"/>
    <w:rsid w:val="00246C6C"/>
    <w:rsid w:val="00247121"/>
    <w:rsid w:val="002476C8"/>
    <w:rsid w:val="00247F99"/>
    <w:rsid w:val="00251CFA"/>
    <w:rsid w:val="00253CE9"/>
    <w:rsid w:val="00253F44"/>
    <w:rsid w:val="002542A0"/>
    <w:rsid w:val="00254399"/>
    <w:rsid w:val="00254B50"/>
    <w:rsid w:val="00254C98"/>
    <w:rsid w:val="002553F6"/>
    <w:rsid w:val="0025579C"/>
    <w:rsid w:val="00256DDC"/>
    <w:rsid w:val="00256E91"/>
    <w:rsid w:val="002575A1"/>
    <w:rsid w:val="0026064B"/>
    <w:rsid w:val="002606F1"/>
    <w:rsid w:val="002611B2"/>
    <w:rsid w:val="00261E84"/>
    <w:rsid w:val="00262BCC"/>
    <w:rsid w:val="00264580"/>
    <w:rsid w:val="00264690"/>
    <w:rsid w:val="002662F4"/>
    <w:rsid w:val="00266CCC"/>
    <w:rsid w:val="002702A8"/>
    <w:rsid w:val="002715F5"/>
    <w:rsid w:val="00271A13"/>
    <w:rsid w:val="00271A4B"/>
    <w:rsid w:val="00271E8B"/>
    <w:rsid w:val="00272536"/>
    <w:rsid w:val="002726B9"/>
    <w:rsid w:val="0027282C"/>
    <w:rsid w:val="00273795"/>
    <w:rsid w:val="00273CD5"/>
    <w:rsid w:val="0027517E"/>
    <w:rsid w:val="00276127"/>
    <w:rsid w:val="0027699C"/>
    <w:rsid w:val="002772B7"/>
    <w:rsid w:val="002773E8"/>
    <w:rsid w:val="002775E5"/>
    <w:rsid w:val="002777E7"/>
    <w:rsid w:val="00277F48"/>
    <w:rsid w:val="00280045"/>
    <w:rsid w:val="002804A3"/>
    <w:rsid w:val="00281315"/>
    <w:rsid w:val="002820E8"/>
    <w:rsid w:val="00282643"/>
    <w:rsid w:val="00283688"/>
    <w:rsid w:val="00283BEB"/>
    <w:rsid w:val="002849C1"/>
    <w:rsid w:val="00284BD5"/>
    <w:rsid w:val="00284D63"/>
    <w:rsid w:val="002850EC"/>
    <w:rsid w:val="002854A7"/>
    <w:rsid w:val="00285BFF"/>
    <w:rsid w:val="00285DFB"/>
    <w:rsid w:val="00286EA5"/>
    <w:rsid w:val="00287669"/>
    <w:rsid w:val="00287AE8"/>
    <w:rsid w:val="00287F7B"/>
    <w:rsid w:val="00290473"/>
    <w:rsid w:val="0029207B"/>
    <w:rsid w:val="002927A0"/>
    <w:rsid w:val="00292875"/>
    <w:rsid w:val="0029287E"/>
    <w:rsid w:val="00292DCA"/>
    <w:rsid w:val="00292FFA"/>
    <w:rsid w:val="0029312F"/>
    <w:rsid w:val="00293572"/>
    <w:rsid w:val="00293A39"/>
    <w:rsid w:val="00293E95"/>
    <w:rsid w:val="00294779"/>
    <w:rsid w:val="002952A2"/>
    <w:rsid w:val="002960BC"/>
    <w:rsid w:val="0029616C"/>
    <w:rsid w:val="00296FE3"/>
    <w:rsid w:val="002A08FE"/>
    <w:rsid w:val="002A1465"/>
    <w:rsid w:val="002A1C01"/>
    <w:rsid w:val="002A224F"/>
    <w:rsid w:val="002A2371"/>
    <w:rsid w:val="002A67BE"/>
    <w:rsid w:val="002A67D8"/>
    <w:rsid w:val="002A7609"/>
    <w:rsid w:val="002B04B7"/>
    <w:rsid w:val="002B0641"/>
    <w:rsid w:val="002B09A1"/>
    <w:rsid w:val="002B0C23"/>
    <w:rsid w:val="002B2358"/>
    <w:rsid w:val="002B2CC4"/>
    <w:rsid w:val="002B3F06"/>
    <w:rsid w:val="002B448D"/>
    <w:rsid w:val="002B4BDD"/>
    <w:rsid w:val="002B6886"/>
    <w:rsid w:val="002B73F1"/>
    <w:rsid w:val="002B76BD"/>
    <w:rsid w:val="002B771A"/>
    <w:rsid w:val="002C018D"/>
    <w:rsid w:val="002C0479"/>
    <w:rsid w:val="002C07DD"/>
    <w:rsid w:val="002C0A40"/>
    <w:rsid w:val="002C188C"/>
    <w:rsid w:val="002C26FA"/>
    <w:rsid w:val="002C3895"/>
    <w:rsid w:val="002C3BFC"/>
    <w:rsid w:val="002C403A"/>
    <w:rsid w:val="002C41E7"/>
    <w:rsid w:val="002C49D2"/>
    <w:rsid w:val="002C65B6"/>
    <w:rsid w:val="002C6CD2"/>
    <w:rsid w:val="002D0198"/>
    <w:rsid w:val="002D4CC7"/>
    <w:rsid w:val="002D4FBE"/>
    <w:rsid w:val="002D58ED"/>
    <w:rsid w:val="002D6A81"/>
    <w:rsid w:val="002D755E"/>
    <w:rsid w:val="002D7772"/>
    <w:rsid w:val="002E0042"/>
    <w:rsid w:val="002E00C3"/>
    <w:rsid w:val="002E0825"/>
    <w:rsid w:val="002E0B31"/>
    <w:rsid w:val="002E1D81"/>
    <w:rsid w:val="002E216F"/>
    <w:rsid w:val="002E2692"/>
    <w:rsid w:val="002E332E"/>
    <w:rsid w:val="002E3D79"/>
    <w:rsid w:val="002E5B26"/>
    <w:rsid w:val="002E7011"/>
    <w:rsid w:val="002F0BA8"/>
    <w:rsid w:val="002F0E8E"/>
    <w:rsid w:val="002F1C8C"/>
    <w:rsid w:val="002F2196"/>
    <w:rsid w:val="002F28ED"/>
    <w:rsid w:val="002F3137"/>
    <w:rsid w:val="002F3968"/>
    <w:rsid w:val="002F4A15"/>
    <w:rsid w:val="002F5081"/>
    <w:rsid w:val="002F59D6"/>
    <w:rsid w:val="002F70C7"/>
    <w:rsid w:val="002F73BF"/>
    <w:rsid w:val="002F756C"/>
    <w:rsid w:val="003000E0"/>
    <w:rsid w:val="00300502"/>
    <w:rsid w:val="00300B80"/>
    <w:rsid w:val="003018CB"/>
    <w:rsid w:val="00301D5D"/>
    <w:rsid w:val="00301D8D"/>
    <w:rsid w:val="00302E72"/>
    <w:rsid w:val="003030FB"/>
    <w:rsid w:val="0030518C"/>
    <w:rsid w:val="00305348"/>
    <w:rsid w:val="00305B69"/>
    <w:rsid w:val="00305E21"/>
    <w:rsid w:val="00306010"/>
    <w:rsid w:val="0030648B"/>
    <w:rsid w:val="0030770F"/>
    <w:rsid w:val="003108D3"/>
    <w:rsid w:val="00311B66"/>
    <w:rsid w:val="00312DBB"/>
    <w:rsid w:val="00313B11"/>
    <w:rsid w:val="00313C0D"/>
    <w:rsid w:val="0031433F"/>
    <w:rsid w:val="00314F38"/>
    <w:rsid w:val="00315F6C"/>
    <w:rsid w:val="003165E3"/>
    <w:rsid w:val="00317D5E"/>
    <w:rsid w:val="003202B9"/>
    <w:rsid w:val="0032097F"/>
    <w:rsid w:val="00320BCA"/>
    <w:rsid w:val="00320CC4"/>
    <w:rsid w:val="00321A80"/>
    <w:rsid w:val="00322CC1"/>
    <w:rsid w:val="00324990"/>
    <w:rsid w:val="00324C48"/>
    <w:rsid w:val="00324D06"/>
    <w:rsid w:val="00326130"/>
    <w:rsid w:val="00326D4E"/>
    <w:rsid w:val="0033053A"/>
    <w:rsid w:val="0033127F"/>
    <w:rsid w:val="00331888"/>
    <w:rsid w:val="00331FD7"/>
    <w:rsid w:val="003329BE"/>
    <w:rsid w:val="00333C34"/>
    <w:rsid w:val="003342FE"/>
    <w:rsid w:val="00335070"/>
    <w:rsid w:val="00335CDC"/>
    <w:rsid w:val="00335E45"/>
    <w:rsid w:val="00335E78"/>
    <w:rsid w:val="00336E49"/>
    <w:rsid w:val="00337A68"/>
    <w:rsid w:val="00337D7B"/>
    <w:rsid w:val="00340396"/>
    <w:rsid w:val="00341516"/>
    <w:rsid w:val="00341EC6"/>
    <w:rsid w:val="00342C23"/>
    <w:rsid w:val="00342C32"/>
    <w:rsid w:val="00342C3A"/>
    <w:rsid w:val="00342F78"/>
    <w:rsid w:val="003430BD"/>
    <w:rsid w:val="00345905"/>
    <w:rsid w:val="00346332"/>
    <w:rsid w:val="0034635A"/>
    <w:rsid w:val="003465BD"/>
    <w:rsid w:val="0034685E"/>
    <w:rsid w:val="003469DA"/>
    <w:rsid w:val="003476B3"/>
    <w:rsid w:val="00347CB5"/>
    <w:rsid w:val="00347E39"/>
    <w:rsid w:val="00350DC7"/>
    <w:rsid w:val="00351978"/>
    <w:rsid w:val="00351A32"/>
    <w:rsid w:val="00352BFA"/>
    <w:rsid w:val="00353582"/>
    <w:rsid w:val="00353E42"/>
    <w:rsid w:val="00353F54"/>
    <w:rsid w:val="003562D7"/>
    <w:rsid w:val="003567F9"/>
    <w:rsid w:val="0036030B"/>
    <w:rsid w:val="00360A8C"/>
    <w:rsid w:val="00360EAB"/>
    <w:rsid w:val="003614B5"/>
    <w:rsid w:val="00361552"/>
    <w:rsid w:val="003622E7"/>
    <w:rsid w:val="00363A6B"/>
    <w:rsid w:val="00363AB4"/>
    <w:rsid w:val="0036412A"/>
    <w:rsid w:val="003646A2"/>
    <w:rsid w:val="00364765"/>
    <w:rsid w:val="00364CA0"/>
    <w:rsid w:val="00365839"/>
    <w:rsid w:val="00365A0B"/>
    <w:rsid w:val="003664F7"/>
    <w:rsid w:val="003665F7"/>
    <w:rsid w:val="003669DA"/>
    <w:rsid w:val="00367A62"/>
    <w:rsid w:val="00367DF1"/>
    <w:rsid w:val="00367E9E"/>
    <w:rsid w:val="003701E8"/>
    <w:rsid w:val="00370732"/>
    <w:rsid w:val="00371262"/>
    <w:rsid w:val="00371D6E"/>
    <w:rsid w:val="003724AA"/>
    <w:rsid w:val="00372753"/>
    <w:rsid w:val="00373628"/>
    <w:rsid w:val="00374789"/>
    <w:rsid w:val="00375AA5"/>
    <w:rsid w:val="00375D85"/>
    <w:rsid w:val="0037647B"/>
    <w:rsid w:val="00376971"/>
    <w:rsid w:val="0037731B"/>
    <w:rsid w:val="00377609"/>
    <w:rsid w:val="003778F0"/>
    <w:rsid w:val="00377E78"/>
    <w:rsid w:val="00380625"/>
    <w:rsid w:val="00380A44"/>
    <w:rsid w:val="00380B98"/>
    <w:rsid w:val="00380D76"/>
    <w:rsid w:val="00382DC6"/>
    <w:rsid w:val="00383175"/>
    <w:rsid w:val="0038547C"/>
    <w:rsid w:val="003869CF"/>
    <w:rsid w:val="00386F69"/>
    <w:rsid w:val="003871A1"/>
    <w:rsid w:val="0038770D"/>
    <w:rsid w:val="003906EA"/>
    <w:rsid w:val="003908E6"/>
    <w:rsid w:val="00390E13"/>
    <w:rsid w:val="00391286"/>
    <w:rsid w:val="00391565"/>
    <w:rsid w:val="00391F26"/>
    <w:rsid w:val="00392B77"/>
    <w:rsid w:val="00392C4B"/>
    <w:rsid w:val="00393650"/>
    <w:rsid w:val="0039676D"/>
    <w:rsid w:val="00396818"/>
    <w:rsid w:val="00396899"/>
    <w:rsid w:val="00396A10"/>
    <w:rsid w:val="00396CB4"/>
    <w:rsid w:val="0039732A"/>
    <w:rsid w:val="003A16D8"/>
    <w:rsid w:val="003A1D5C"/>
    <w:rsid w:val="003A281C"/>
    <w:rsid w:val="003A2C17"/>
    <w:rsid w:val="003A2F60"/>
    <w:rsid w:val="003A4125"/>
    <w:rsid w:val="003A42FF"/>
    <w:rsid w:val="003A43B2"/>
    <w:rsid w:val="003A44DB"/>
    <w:rsid w:val="003A45C5"/>
    <w:rsid w:val="003A476E"/>
    <w:rsid w:val="003A4CD3"/>
    <w:rsid w:val="003A5CA4"/>
    <w:rsid w:val="003A6120"/>
    <w:rsid w:val="003A68AA"/>
    <w:rsid w:val="003B0D4A"/>
    <w:rsid w:val="003B169D"/>
    <w:rsid w:val="003B2D77"/>
    <w:rsid w:val="003B31AF"/>
    <w:rsid w:val="003B368F"/>
    <w:rsid w:val="003B3876"/>
    <w:rsid w:val="003B3C8C"/>
    <w:rsid w:val="003B4BF2"/>
    <w:rsid w:val="003B6C0C"/>
    <w:rsid w:val="003B6F17"/>
    <w:rsid w:val="003C0288"/>
    <w:rsid w:val="003C1A5D"/>
    <w:rsid w:val="003C2F36"/>
    <w:rsid w:val="003C3383"/>
    <w:rsid w:val="003C352C"/>
    <w:rsid w:val="003C42E4"/>
    <w:rsid w:val="003C468D"/>
    <w:rsid w:val="003C4AA3"/>
    <w:rsid w:val="003C5FCC"/>
    <w:rsid w:val="003C6105"/>
    <w:rsid w:val="003C6436"/>
    <w:rsid w:val="003C6D38"/>
    <w:rsid w:val="003C75D6"/>
    <w:rsid w:val="003D0400"/>
    <w:rsid w:val="003D2C20"/>
    <w:rsid w:val="003D2DA5"/>
    <w:rsid w:val="003D43F1"/>
    <w:rsid w:val="003D44FD"/>
    <w:rsid w:val="003D47B2"/>
    <w:rsid w:val="003D571A"/>
    <w:rsid w:val="003D5830"/>
    <w:rsid w:val="003D5A84"/>
    <w:rsid w:val="003D65E2"/>
    <w:rsid w:val="003D6F58"/>
    <w:rsid w:val="003D742E"/>
    <w:rsid w:val="003D7B73"/>
    <w:rsid w:val="003D7F1C"/>
    <w:rsid w:val="003E244A"/>
    <w:rsid w:val="003E2ED8"/>
    <w:rsid w:val="003E30B4"/>
    <w:rsid w:val="003E4CBC"/>
    <w:rsid w:val="003E722B"/>
    <w:rsid w:val="003F01CB"/>
    <w:rsid w:val="003F0C3B"/>
    <w:rsid w:val="003F10A4"/>
    <w:rsid w:val="003F1136"/>
    <w:rsid w:val="003F1156"/>
    <w:rsid w:val="003F19C4"/>
    <w:rsid w:val="003F1C99"/>
    <w:rsid w:val="003F2616"/>
    <w:rsid w:val="003F27D3"/>
    <w:rsid w:val="003F3051"/>
    <w:rsid w:val="003F30E0"/>
    <w:rsid w:val="003F3479"/>
    <w:rsid w:val="003F6DA5"/>
    <w:rsid w:val="003F7412"/>
    <w:rsid w:val="003F76B6"/>
    <w:rsid w:val="003F7862"/>
    <w:rsid w:val="0040035E"/>
    <w:rsid w:val="00400635"/>
    <w:rsid w:val="0040140F"/>
    <w:rsid w:val="00401AB4"/>
    <w:rsid w:val="00403222"/>
    <w:rsid w:val="004034D2"/>
    <w:rsid w:val="00404460"/>
    <w:rsid w:val="0040487C"/>
    <w:rsid w:val="004060FF"/>
    <w:rsid w:val="00406245"/>
    <w:rsid w:val="004062E5"/>
    <w:rsid w:val="00406AE9"/>
    <w:rsid w:val="00406C70"/>
    <w:rsid w:val="00407CB8"/>
    <w:rsid w:val="004109FF"/>
    <w:rsid w:val="004127B2"/>
    <w:rsid w:val="00412800"/>
    <w:rsid w:val="00412857"/>
    <w:rsid w:val="00413063"/>
    <w:rsid w:val="00413286"/>
    <w:rsid w:val="00414CE5"/>
    <w:rsid w:val="0041517D"/>
    <w:rsid w:val="004155B7"/>
    <w:rsid w:val="00415732"/>
    <w:rsid w:val="0041593E"/>
    <w:rsid w:val="00415D3D"/>
    <w:rsid w:val="00415D96"/>
    <w:rsid w:val="0041629E"/>
    <w:rsid w:val="0041696F"/>
    <w:rsid w:val="004170D6"/>
    <w:rsid w:val="00417BF2"/>
    <w:rsid w:val="00420198"/>
    <w:rsid w:val="004202AE"/>
    <w:rsid w:val="00421054"/>
    <w:rsid w:val="00422B50"/>
    <w:rsid w:val="00422BD9"/>
    <w:rsid w:val="00422DDC"/>
    <w:rsid w:val="00423C8D"/>
    <w:rsid w:val="00424140"/>
    <w:rsid w:val="00424223"/>
    <w:rsid w:val="00424D1C"/>
    <w:rsid w:val="00424E66"/>
    <w:rsid w:val="00425A22"/>
    <w:rsid w:val="00425B52"/>
    <w:rsid w:val="00425DF4"/>
    <w:rsid w:val="00426CF6"/>
    <w:rsid w:val="0042796B"/>
    <w:rsid w:val="00430096"/>
    <w:rsid w:val="0043028C"/>
    <w:rsid w:val="004312D5"/>
    <w:rsid w:val="00431F7F"/>
    <w:rsid w:val="00432734"/>
    <w:rsid w:val="00432D09"/>
    <w:rsid w:val="004331DA"/>
    <w:rsid w:val="004335DB"/>
    <w:rsid w:val="00433CDA"/>
    <w:rsid w:val="004346B4"/>
    <w:rsid w:val="004347CA"/>
    <w:rsid w:val="00434891"/>
    <w:rsid w:val="00435B76"/>
    <w:rsid w:val="00435DC5"/>
    <w:rsid w:val="00436F22"/>
    <w:rsid w:val="00437264"/>
    <w:rsid w:val="004376ED"/>
    <w:rsid w:val="00437C18"/>
    <w:rsid w:val="00440360"/>
    <w:rsid w:val="00441E48"/>
    <w:rsid w:val="004436B4"/>
    <w:rsid w:val="00443CB8"/>
    <w:rsid w:val="00444059"/>
    <w:rsid w:val="0044474F"/>
    <w:rsid w:val="00445E3F"/>
    <w:rsid w:val="00447AB8"/>
    <w:rsid w:val="00447AF2"/>
    <w:rsid w:val="004500AC"/>
    <w:rsid w:val="004509CB"/>
    <w:rsid w:val="004523D4"/>
    <w:rsid w:val="00452549"/>
    <w:rsid w:val="00453B15"/>
    <w:rsid w:val="00453E36"/>
    <w:rsid w:val="004541E5"/>
    <w:rsid w:val="0045428D"/>
    <w:rsid w:val="004543C1"/>
    <w:rsid w:val="004544D6"/>
    <w:rsid w:val="00454CF3"/>
    <w:rsid w:val="00455DB7"/>
    <w:rsid w:val="0045605E"/>
    <w:rsid w:val="00457337"/>
    <w:rsid w:val="004574E7"/>
    <w:rsid w:val="00457F94"/>
    <w:rsid w:val="004601B1"/>
    <w:rsid w:val="004609D7"/>
    <w:rsid w:val="00461469"/>
    <w:rsid w:val="004616FD"/>
    <w:rsid w:val="00462017"/>
    <w:rsid w:val="0046229B"/>
    <w:rsid w:val="00462911"/>
    <w:rsid w:val="0046297F"/>
    <w:rsid w:val="00462DD7"/>
    <w:rsid w:val="0046367E"/>
    <w:rsid w:val="00463CE1"/>
    <w:rsid w:val="00464472"/>
    <w:rsid w:val="00464C43"/>
    <w:rsid w:val="00465044"/>
    <w:rsid w:val="004651C7"/>
    <w:rsid w:val="0046679F"/>
    <w:rsid w:val="00467156"/>
    <w:rsid w:val="004673F2"/>
    <w:rsid w:val="0046754F"/>
    <w:rsid w:val="004707AF"/>
    <w:rsid w:val="004708F7"/>
    <w:rsid w:val="00470BB7"/>
    <w:rsid w:val="00471253"/>
    <w:rsid w:val="00472A9B"/>
    <w:rsid w:val="0047391B"/>
    <w:rsid w:val="00474684"/>
    <w:rsid w:val="00474E5B"/>
    <w:rsid w:val="00474FE5"/>
    <w:rsid w:val="00476745"/>
    <w:rsid w:val="00476DD5"/>
    <w:rsid w:val="00480451"/>
    <w:rsid w:val="00481250"/>
    <w:rsid w:val="00482C49"/>
    <w:rsid w:val="00482D34"/>
    <w:rsid w:val="00484118"/>
    <w:rsid w:val="00484224"/>
    <w:rsid w:val="0048428F"/>
    <w:rsid w:val="00484380"/>
    <w:rsid w:val="0048473B"/>
    <w:rsid w:val="004848F5"/>
    <w:rsid w:val="00484A20"/>
    <w:rsid w:val="00484C72"/>
    <w:rsid w:val="00485264"/>
    <w:rsid w:val="004856F6"/>
    <w:rsid w:val="00485F1B"/>
    <w:rsid w:val="004860CD"/>
    <w:rsid w:val="00486A7B"/>
    <w:rsid w:val="0049043A"/>
    <w:rsid w:val="00490995"/>
    <w:rsid w:val="00491420"/>
    <w:rsid w:val="00491B11"/>
    <w:rsid w:val="00492EFE"/>
    <w:rsid w:val="00493409"/>
    <w:rsid w:val="00493943"/>
    <w:rsid w:val="004944E3"/>
    <w:rsid w:val="00494683"/>
    <w:rsid w:val="00494D6E"/>
    <w:rsid w:val="0049571F"/>
    <w:rsid w:val="00495F5B"/>
    <w:rsid w:val="00496372"/>
    <w:rsid w:val="00496777"/>
    <w:rsid w:val="00496B7C"/>
    <w:rsid w:val="00496B7D"/>
    <w:rsid w:val="00496FBC"/>
    <w:rsid w:val="004971A7"/>
    <w:rsid w:val="004973DD"/>
    <w:rsid w:val="0049780C"/>
    <w:rsid w:val="004A1C12"/>
    <w:rsid w:val="004A1C33"/>
    <w:rsid w:val="004A1CF1"/>
    <w:rsid w:val="004A1E20"/>
    <w:rsid w:val="004A2CE9"/>
    <w:rsid w:val="004A3FA0"/>
    <w:rsid w:val="004A402E"/>
    <w:rsid w:val="004A42A0"/>
    <w:rsid w:val="004A4A24"/>
    <w:rsid w:val="004A5C49"/>
    <w:rsid w:val="004A5F9C"/>
    <w:rsid w:val="004A6D7C"/>
    <w:rsid w:val="004A75DD"/>
    <w:rsid w:val="004A7972"/>
    <w:rsid w:val="004B19D4"/>
    <w:rsid w:val="004B1B3E"/>
    <w:rsid w:val="004B22D1"/>
    <w:rsid w:val="004B31C3"/>
    <w:rsid w:val="004B37BC"/>
    <w:rsid w:val="004B3B08"/>
    <w:rsid w:val="004B46A0"/>
    <w:rsid w:val="004B5C38"/>
    <w:rsid w:val="004B688D"/>
    <w:rsid w:val="004B6EA0"/>
    <w:rsid w:val="004B7001"/>
    <w:rsid w:val="004B77CD"/>
    <w:rsid w:val="004C06FE"/>
    <w:rsid w:val="004C0B02"/>
    <w:rsid w:val="004C0C4D"/>
    <w:rsid w:val="004C0F8F"/>
    <w:rsid w:val="004C1484"/>
    <w:rsid w:val="004C18EA"/>
    <w:rsid w:val="004C1F9A"/>
    <w:rsid w:val="004C2003"/>
    <w:rsid w:val="004C2162"/>
    <w:rsid w:val="004C2542"/>
    <w:rsid w:val="004C3444"/>
    <w:rsid w:val="004C4B54"/>
    <w:rsid w:val="004C4BA7"/>
    <w:rsid w:val="004C518C"/>
    <w:rsid w:val="004C5D28"/>
    <w:rsid w:val="004C7E10"/>
    <w:rsid w:val="004D07E9"/>
    <w:rsid w:val="004D08C6"/>
    <w:rsid w:val="004D17AA"/>
    <w:rsid w:val="004D1AE7"/>
    <w:rsid w:val="004D22AE"/>
    <w:rsid w:val="004D2764"/>
    <w:rsid w:val="004D2A08"/>
    <w:rsid w:val="004D2F61"/>
    <w:rsid w:val="004D30B7"/>
    <w:rsid w:val="004D3585"/>
    <w:rsid w:val="004D43C9"/>
    <w:rsid w:val="004D44F4"/>
    <w:rsid w:val="004D46F3"/>
    <w:rsid w:val="004D59D7"/>
    <w:rsid w:val="004D6CB1"/>
    <w:rsid w:val="004D6F98"/>
    <w:rsid w:val="004D7082"/>
    <w:rsid w:val="004D79E7"/>
    <w:rsid w:val="004D7D70"/>
    <w:rsid w:val="004E0CCF"/>
    <w:rsid w:val="004E11D7"/>
    <w:rsid w:val="004E1ACC"/>
    <w:rsid w:val="004E1C46"/>
    <w:rsid w:val="004E44A2"/>
    <w:rsid w:val="004E44A3"/>
    <w:rsid w:val="004E4609"/>
    <w:rsid w:val="004E46A9"/>
    <w:rsid w:val="004E4B49"/>
    <w:rsid w:val="004E534F"/>
    <w:rsid w:val="004E6FCF"/>
    <w:rsid w:val="004E78BC"/>
    <w:rsid w:val="004E7DDC"/>
    <w:rsid w:val="004F1595"/>
    <w:rsid w:val="004F20FA"/>
    <w:rsid w:val="004F21C6"/>
    <w:rsid w:val="004F2817"/>
    <w:rsid w:val="004F2958"/>
    <w:rsid w:val="004F424B"/>
    <w:rsid w:val="004F4D2D"/>
    <w:rsid w:val="004F5FC4"/>
    <w:rsid w:val="004F60E6"/>
    <w:rsid w:val="004F6C74"/>
    <w:rsid w:val="004F768A"/>
    <w:rsid w:val="004F7A47"/>
    <w:rsid w:val="004F7AC1"/>
    <w:rsid w:val="004F7BD5"/>
    <w:rsid w:val="004F7DA8"/>
    <w:rsid w:val="00501A02"/>
    <w:rsid w:val="00502450"/>
    <w:rsid w:val="00502F16"/>
    <w:rsid w:val="00503828"/>
    <w:rsid w:val="00505364"/>
    <w:rsid w:val="00505AFA"/>
    <w:rsid w:val="00505F2F"/>
    <w:rsid w:val="00505FC0"/>
    <w:rsid w:val="00506826"/>
    <w:rsid w:val="00507115"/>
    <w:rsid w:val="005077A3"/>
    <w:rsid w:val="00507C4F"/>
    <w:rsid w:val="00510653"/>
    <w:rsid w:val="0051074B"/>
    <w:rsid w:val="00510C8D"/>
    <w:rsid w:val="00510EFE"/>
    <w:rsid w:val="005120D5"/>
    <w:rsid w:val="00512862"/>
    <w:rsid w:val="00513B9E"/>
    <w:rsid w:val="00514E97"/>
    <w:rsid w:val="00516527"/>
    <w:rsid w:val="00517DFB"/>
    <w:rsid w:val="00521539"/>
    <w:rsid w:val="005217D2"/>
    <w:rsid w:val="00522A68"/>
    <w:rsid w:val="00522EC7"/>
    <w:rsid w:val="0052325B"/>
    <w:rsid w:val="00523B30"/>
    <w:rsid w:val="00524129"/>
    <w:rsid w:val="00524CE4"/>
    <w:rsid w:val="00525CC7"/>
    <w:rsid w:val="00525CF7"/>
    <w:rsid w:val="005260DB"/>
    <w:rsid w:val="0052615B"/>
    <w:rsid w:val="00526254"/>
    <w:rsid w:val="00526470"/>
    <w:rsid w:val="005266F8"/>
    <w:rsid w:val="00530519"/>
    <w:rsid w:val="00530677"/>
    <w:rsid w:val="005307A5"/>
    <w:rsid w:val="00531A15"/>
    <w:rsid w:val="005321E5"/>
    <w:rsid w:val="00532723"/>
    <w:rsid w:val="00532B62"/>
    <w:rsid w:val="00532DE4"/>
    <w:rsid w:val="00532EAA"/>
    <w:rsid w:val="005341AC"/>
    <w:rsid w:val="00534509"/>
    <w:rsid w:val="00535EEF"/>
    <w:rsid w:val="00540198"/>
    <w:rsid w:val="00540438"/>
    <w:rsid w:val="0054108B"/>
    <w:rsid w:val="005415A8"/>
    <w:rsid w:val="005425B2"/>
    <w:rsid w:val="005436E7"/>
    <w:rsid w:val="00544C85"/>
    <w:rsid w:val="005453AB"/>
    <w:rsid w:val="00545BAE"/>
    <w:rsid w:val="00551FA9"/>
    <w:rsid w:val="005520D7"/>
    <w:rsid w:val="00552FD7"/>
    <w:rsid w:val="005536D9"/>
    <w:rsid w:val="00553A7D"/>
    <w:rsid w:val="00553B30"/>
    <w:rsid w:val="00554BBA"/>
    <w:rsid w:val="00554CBF"/>
    <w:rsid w:val="00555118"/>
    <w:rsid w:val="00555FFE"/>
    <w:rsid w:val="00556AA2"/>
    <w:rsid w:val="00556F90"/>
    <w:rsid w:val="00560042"/>
    <w:rsid w:val="00560168"/>
    <w:rsid w:val="00560403"/>
    <w:rsid w:val="005604D4"/>
    <w:rsid w:val="005610AD"/>
    <w:rsid w:val="00561A01"/>
    <w:rsid w:val="00561A55"/>
    <w:rsid w:val="00562289"/>
    <w:rsid w:val="00562430"/>
    <w:rsid w:val="00562DA2"/>
    <w:rsid w:val="005652E9"/>
    <w:rsid w:val="00566A51"/>
    <w:rsid w:val="00567ECD"/>
    <w:rsid w:val="00570432"/>
    <w:rsid w:val="0057049C"/>
    <w:rsid w:val="00571120"/>
    <w:rsid w:val="0057333A"/>
    <w:rsid w:val="00573B9F"/>
    <w:rsid w:val="0057452A"/>
    <w:rsid w:val="00574E28"/>
    <w:rsid w:val="005801E7"/>
    <w:rsid w:val="00581B2C"/>
    <w:rsid w:val="005834A5"/>
    <w:rsid w:val="005834F1"/>
    <w:rsid w:val="005839AE"/>
    <w:rsid w:val="00583E05"/>
    <w:rsid w:val="0058408C"/>
    <w:rsid w:val="00584247"/>
    <w:rsid w:val="00584AE4"/>
    <w:rsid w:val="00585099"/>
    <w:rsid w:val="005865B2"/>
    <w:rsid w:val="0058669B"/>
    <w:rsid w:val="00586C71"/>
    <w:rsid w:val="00587898"/>
    <w:rsid w:val="00587B4E"/>
    <w:rsid w:val="005908A2"/>
    <w:rsid w:val="00591244"/>
    <w:rsid w:val="00591B06"/>
    <w:rsid w:val="0059257A"/>
    <w:rsid w:val="00593BEF"/>
    <w:rsid w:val="0059456C"/>
    <w:rsid w:val="005948A0"/>
    <w:rsid w:val="00596474"/>
    <w:rsid w:val="0059713F"/>
    <w:rsid w:val="0059740E"/>
    <w:rsid w:val="0059794A"/>
    <w:rsid w:val="00597FAA"/>
    <w:rsid w:val="005A0418"/>
    <w:rsid w:val="005A0542"/>
    <w:rsid w:val="005A0684"/>
    <w:rsid w:val="005A0A5D"/>
    <w:rsid w:val="005A0BCF"/>
    <w:rsid w:val="005A0F40"/>
    <w:rsid w:val="005A11AB"/>
    <w:rsid w:val="005A1BC1"/>
    <w:rsid w:val="005A1E58"/>
    <w:rsid w:val="005A2C05"/>
    <w:rsid w:val="005A2DD0"/>
    <w:rsid w:val="005A2EF8"/>
    <w:rsid w:val="005A378D"/>
    <w:rsid w:val="005A49C6"/>
    <w:rsid w:val="005A4C20"/>
    <w:rsid w:val="005A4CA3"/>
    <w:rsid w:val="005A5500"/>
    <w:rsid w:val="005A6867"/>
    <w:rsid w:val="005A72BD"/>
    <w:rsid w:val="005A7F5A"/>
    <w:rsid w:val="005B03DB"/>
    <w:rsid w:val="005B07E1"/>
    <w:rsid w:val="005B0FD1"/>
    <w:rsid w:val="005B1036"/>
    <w:rsid w:val="005B1697"/>
    <w:rsid w:val="005B16F2"/>
    <w:rsid w:val="005B191A"/>
    <w:rsid w:val="005B1D66"/>
    <w:rsid w:val="005B2826"/>
    <w:rsid w:val="005B2CEE"/>
    <w:rsid w:val="005B3373"/>
    <w:rsid w:val="005B3BD6"/>
    <w:rsid w:val="005B4A28"/>
    <w:rsid w:val="005B533E"/>
    <w:rsid w:val="005B6347"/>
    <w:rsid w:val="005B7B72"/>
    <w:rsid w:val="005C0D66"/>
    <w:rsid w:val="005C1194"/>
    <w:rsid w:val="005C11A1"/>
    <w:rsid w:val="005C1712"/>
    <w:rsid w:val="005C2C3A"/>
    <w:rsid w:val="005C360A"/>
    <w:rsid w:val="005C3712"/>
    <w:rsid w:val="005C40A7"/>
    <w:rsid w:val="005C43D5"/>
    <w:rsid w:val="005C54B2"/>
    <w:rsid w:val="005C5A10"/>
    <w:rsid w:val="005C5A3E"/>
    <w:rsid w:val="005C5B3D"/>
    <w:rsid w:val="005C6005"/>
    <w:rsid w:val="005C6B19"/>
    <w:rsid w:val="005D0474"/>
    <w:rsid w:val="005D0684"/>
    <w:rsid w:val="005D0D93"/>
    <w:rsid w:val="005D1530"/>
    <w:rsid w:val="005D1971"/>
    <w:rsid w:val="005D1BD4"/>
    <w:rsid w:val="005D1BDC"/>
    <w:rsid w:val="005D28C5"/>
    <w:rsid w:val="005D2A85"/>
    <w:rsid w:val="005D2B2B"/>
    <w:rsid w:val="005D2B8B"/>
    <w:rsid w:val="005D2EF9"/>
    <w:rsid w:val="005D3879"/>
    <w:rsid w:val="005D3A33"/>
    <w:rsid w:val="005D401D"/>
    <w:rsid w:val="005D5C74"/>
    <w:rsid w:val="005D5D10"/>
    <w:rsid w:val="005D5E9F"/>
    <w:rsid w:val="005D7245"/>
    <w:rsid w:val="005E0013"/>
    <w:rsid w:val="005E02AC"/>
    <w:rsid w:val="005E0CCC"/>
    <w:rsid w:val="005E1DB3"/>
    <w:rsid w:val="005E2172"/>
    <w:rsid w:val="005E277E"/>
    <w:rsid w:val="005E2B0B"/>
    <w:rsid w:val="005E2F58"/>
    <w:rsid w:val="005E3A17"/>
    <w:rsid w:val="005E4163"/>
    <w:rsid w:val="005E4466"/>
    <w:rsid w:val="005E4D14"/>
    <w:rsid w:val="005E5DD0"/>
    <w:rsid w:val="005E61DE"/>
    <w:rsid w:val="005E6788"/>
    <w:rsid w:val="005E6E73"/>
    <w:rsid w:val="005E7040"/>
    <w:rsid w:val="005F051D"/>
    <w:rsid w:val="005F0A98"/>
    <w:rsid w:val="005F0C06"/>
    <w:rsid w:val="005F1C87"/>
    <w:rsid w:val="005F1E31"/>
    <w:rsid w:val="005F26F7"/>
    <w:rsid w:val="005F28D2"/>
    <w:rsid w:val="005F33D7"/>
    <w:rsid w:val="005F35A7"/>
    <w:rsid w:val="005F6FCA"/>
    <w:rsid w:val="00600416"/>
    <w:rsid w:val="00600A82"/>
    <w:rsid w:val="00600EB5"/>
    <w:rsid w:val="00601397"/>
    <w:rsid w:val="00601449"/>
    <w:rsid w:val="00601997"/>
    <w:rsid w:val="00602136"/>
    <w:rsid w:val="00602291"/>
    <w:rsid w:val="0060299D"/>
    <w:rsid w:val="0060357A"/>
    <w:rsid w:val="00603D3C"/>
    <w:rsid w:val="0060402D"/>
    <w:rsid w:val="00605097"/>
    <w:rsid w:val="00605A1C"/>
    <w:rsid w:val="00606A5C"/>
    <w:rsid w:val="00607482"/>
    <w:rsid w:val="00607AD0"/>
    <w:rsid w:val="00611B53"/>
    <w:rsid w:val="00611D26"/>
    <w:rsid w:val="006120F6"/>
    <w:rsid w:val="006121E9"/>
    <w:rsid w:val="006125ED"/>
    <w:rsid w:val="006126E1"/>
    <w:rsid w:val="00612C44"/>
    <w:rsid w:val="00613013"/>
    <w:rsid w:val="00613A36"/>
    <w:rsid w:val="00614270"/>
    <w:rsid w:val="006148AE"/>
    <w:rsid w:val="00614AF8"/>
    <w:rsid w:val="00614B5C"/>
    <w:rsid w:val="006156B5"/>
    <w:rsid w:val="00616337"/>
    <w:rsid w:val="006170E6"/>
    <w:rsid w:val="00617804"/>
    <w:rsid w:val="00617C9F"/>
    <w:rsid w:val="00620F8A"/>
    <w:rsid w:val="006217E2"/>
    <w:rsid w:val="00621F32"/>
    <w:rsid w:val="006224D9"/>
    <w:rsid w:val="00625516"/>
    <w:rsid w:val="00625932"/>
    <w:rsid w:val="00625CC7"/>
    <w:rsid w:val="00626A7C"/>
    <w:rsid w:val="00626F60"/>
    <w:rsid w:val="00627C79"/>
    <w:rsid w:val="00630683"/>
    <w:rsid w:val="006314E7"/>
    <w:rsid w:val="00631AE5"/>
    <w:rsid w:val="00631DC5"/>
    <w:rsid w:val="00631F8E"/>
    <w:rsid w:val="006321BA"/>
    <w:rsid w:val="00633410"/>
    <w:rsid w:val="00633BDD"/>
    <w:rsid w:val="00634393"/>
    <w:rsid w:val="006360DE"/>
    <w:rsid w:val="00636DAA"/>
    <w:rsid w:val="00636E9A"/>
    <w:rsid w:val="006410B9"/>
    <w:rsid w:val="00641A6B"/>
    <w:rsid w:val="00641EC1"/>
    <w:rsid w:val="006420A1"/>
    <w:rsid w:val="00642246"/>
    <w:rsid w:val="006428E6"/>
    <w:rsid w:val="00642BD1"/>
    <w:rsid w:val="006441E3"/>
    <w:rsid w:val="006443D3"/>
    <w:rsid w:val="00644BF4"/>
    <w:rsid w:val="00644CC0"/>
    <w:rsid w:val="006465F2"/>
    <w:rsid w:val="00646D52"/>
    <w:rsid w:val="00647A95"/>
    <w:rsid w:val="00650408"/>
    <w:rsid w:val="006508A1"/>
    <w:rsid w:val="006515C9"/>
    <w:rsid w:val="00652297"/>
    <w:rsid w:val="006522F0"/>
    <w:rsid w:val="00652416"/>
    <w:rsid w:val="006525BD"/>
    <w:rsid w:val="00652E54"/>
    <w:rsid w:val="0065471D"/>
    <w:rsid w:val="006559A3"/>
    <w:rsid w:val="00656CE9"/>
    <w:rsid w:val="00657534"/>
    <w:rsid w:val="00657AB4"/>
    <w:rsid w:val="006614F9"/>
    <w:rsid w:val="00662124"/>
    <w:rsid w:val="00663B65"/>
    <w:rsid w:val="00664963"/>
    <w:rsid w:val="00665512"/>
    <w:rsid w:val="006657B6"/>
    <w:rsid w:val="00665B0A"/>
    <w:rsid w:val="00667C62"/>
    <w:rsid w:val="00667FC8"/>
    <w:rsid w:val="00670FCC"/>
    <w:rsid w:val="0067138B"/>
    <w:rsid w:val="00671786"/>
    <w:rsid w:val="00671B04"/>
    <w:rsid w:val="00671BA3"/>
    <w:rsid w:val="00671E16"/>
    <w:rsid w:val="00672D81"/>
    <w:rsid w:val="00672E44"/>
    <w:rsid w:val="0067381D"/>
    <w:rsid w:val="006738DE"/>
    <w:rsid w:val="00674D9B"/>
    <w:rsid w:val="006768CA"/>
    <w:rsid w:val="00677537"/>
    <w:rsid w:val="00680459"/>
    <w:rsid w:val="00680ACA"/>
    <w:rsid w:val="00680F9C"/>
    <w:rsid w:val="0068118E"/>
    <w:rsid w:val="006815CF"/>
    <w:rsid w:val="00681E78"/>
    <w:rsid w:val="006834CE"/>
    <w:rsid w:val="0068437E"/>
    <w:rsid w:val="006859A7"/>
    <w:rsid w:val="00685C3D"/>
    <w:rsid w:val="00687058"/>
    <w:rsid w:val="00687DAF"/>
    <w:rsid w:val="00690160"/>
    <w:rsid w:val="00690503"/>
    <w:rsid w:val="0069060B"/>
    <w:rsid w:val="00691155"/>
    <w:rsid w:val="00691500"/>
    <w:rsid w:val="00693658"/>
    <w:rsid w:val="00694358"/>
    <w:rsid w:val="00694771"/>
    <w:rsid w:val="0069492D"/>
    <w:rsid w:val="00695AC8"/>
    <w:rsid w:val="00695F3B"/>
    <w:rsid w:val="00696313"/>
    <w:rsid w:val="00696381"/>
    <w:rsid w:val="00697224"/>
    <w:rsid w:val="006A084D"/>
    <w:rsid w:val="006A11B9"/>
    <w:rsid w:val="006A11F8"/>
    <w:rsid w:val="006A21AA"/>
    <w:rsid w:val="006A3CC6"/>
    <w:rsid w:val="006A3DD3"/>
    <w:rsid w:val="006A46B2"/>
    <w:rsid w:val="006A4CD0"/>
    <w:rsid w:val="006A5015"/>
    <w:rsid w:val="006A52C0"/>
    <w:rsid w:val="006A5EA6"/>
    <w:rsid w:val="006A6397"/>
    <w:rsid w:val="006B00EC"/>
    <w:rsid w:val="006B09C2"/>
    <w:rsid w:val="006B17AA"/>
    <w:rsid w:val="006B1BAA"/>
    <w:rsid w:val="006B21BE"/>
    <w:rsid w:val="006B3E20"/>
    <w:rsid w:val="006B3F20"/>
    <w:rsid w:val="006B4134"/>
    <w:rsid w:val="006B4A0C"/>
    <w:rsid w:val="006B4F48"/>
    <w:rsid w:val="006B592B"/>
    <w:rsid w:val="006B5952"/>
    <w:rsid w:val="006B741C"/>
    <w:rsid w:val="006B7C5F"/>
    <w:rsid w:val="006C020B"/>
    <w:rsid w:val="006C0280"/>
    <w:rsid w:val="006C043F"/>
    <w:rsid w:val="006C04F9"/>
    <w:rsid w:val="006C07DB"/>
    <w:rsid w:val="006C0D45"/>
    <w:rsid w:val="006C14EE"/>
    <w:rsid w:val="006C16CD"/>
    <w:rsid w:val="006C1B88"/>
    <w:rsid w:val="006C213E"/>
    <w:rsid w:val="006C292C"/>
    <w:rsid w:val="006C3160"/>
    <w:rsid w:val="006C410C"/>
    <w:rsid w:val="006C4938"/>
    <w:rsid w:val="006C5400"/>
    <w:rsid w:val="006C5701"/>
    <w:rsid w:val="006C63EA"/>
    <w:rsid w:val="006C7168"/>
    <w:rsid w:val="006C7A61"/>
    <w:rsid w:val="006D0115"/>
    <w:rsid w:val="006D1602"/>
    <w:rsid w:val="006D244C"/>
    <w:rsid w:val="006D461B"/>
    <w:rsid w:val="006D475B"/>
    <w:rsid w:val="006D5D21"/>
    <w:rsid w:val="006D5E7B"/>
    <w:rsid w:val="006D67CA"/>
    <w:rsid w:val="006D6D04"/>
    <w:rsid w:val="006E06A3"/>
    <w:rsid w:val="006E159B"/>
    <w:rsid w:val="006E2686"/>
    <w:rsid w:val="006E274D"/>
    <w:rsid w:val="006E3492"/>
    <w:rsid w:val="006E3DF7"/>
    <w:rsid w:val="006E4009"/>
    <w:rsid w:val="006E4ADA"/>
    <w:rsid w:val="006E501E"/>
    <w:rsid w:val="006E5D2C"/>
    <w:rsid w:val="006E5EE2"/>
    <w:rsid w:val="006E6839"/>
    <w:rsid w:val="006E6B92"/>
    <w:rsid w:val="006E7355"/>
    <w:rsid w:val="006E7458"/>
    <w:rsid w:val="006E755B"/>
    <w:rsid w:val="006E7A0A"/>
    <w:rsid w:val="006F07E4"/>
    <w:rsid w:val="006F0C32"/>
    <w:rsid w:val="006F13AD"/>
    <w:rsid w:val="006F17EE"/>
    <w:rsid w:val="006F2300"/>
    <w:rsid w:val="006F278A"/>
    <w:rsid w:val="006F2AB7"/>
    <w:rsid w:val="006F35B4"/>
    <w:rsid w:val="006F3F1A"/>
    <w:rsid w:val="006F6A2E"/>
    <w:rsid w:val="006F77A5"/>
    <w:rsid w:val="007001AE"/>
    <w:rsid w:val="00700488"/>
    <w:rsid w:val="00700621"/>
    <w:rsid w:val="007009E6"/>
    <w:rsid w:val="0070187B"/>
    <w:rsid w:val="007018F3"/>
    <w:rsid w:val="00702C39"/>
    <w:rsid w:val="0070377D"/>
    <w:rsid w:val="00703DCE"/>
    <w:rsid w:val="0070412E"/>
    <w:rsid w:val="00705065"/>
    <w:rsid w:val="00705575"/>
    <w:rsid w:val="007057D6"/>
    <w:rsid w:val="00705964"/>
    <w:rsid w:val="007069D0"/>
    <w:rsid w:val="00706B0F"/>
    <w:rsid w:val="007070AF"/>
    <w:rsid w:val="007077C3"/>
    <w:rsid w:val="00707C92"/>
    <w:rsid w:val="00710AC6"/>
    <w:rsid w:val="0071171F"/>
    <w:rsid w:val="00711AAA"/>
    <w:rsid w:val="00711AFA"/>
    <w:rsid w:val="00711CAC"/>
    <w:rsid w:val="00713A66"/>
    <w:rsid w:val="00713B09"/>
    <w:rsid w:val="00713B49"/>
    <w:rsid w:val="0071517B"/>
    <w:rsid w:val="00715433"/>
    <w:rsid w:val="00716A50"/>
    <w:rsid w:val="00717428"/>
    <w:rsid w:val="00717BF0"/>
    <w:rsid w:val="0072029B"/>
    <w:rsid w:val="007213F1"/>
    <w:rsid w:val="00721A15"/>
    <w:rsid w:val="00721F34"/>
    <w:rsid w:val="00722314"/>
    <w:rsid w:val="007223CE"/>
    <w:rsid w:val="007226DE"/>
    <w:rsid w:val="00722A7E"/>
    <w:rsid w:val="007244F1"/>
    <w:rsid w:val="007245E4"/>
    <w:rsid w:val="0072467C"/>
    <w:rsid w:val="00724CB5"/>
    <w:rsid w:val="0072508E"/>
    <w:rsid w:val="007254B7"/>
    <w:rsid w:val="00725631"/>
    <w:rsid w:val="00726438"/>
    <w:rsid w:val="00726F56"/>
    <w:rsid w:val="00730268"/>
    <w:rsid w:val="00730F0C"/>
    <w:rsid w:val="00731C98"/>
    <w:rsid w:val="007323E6"/>
    <w:rsid w:val="007324D6"/>
    <w:rsid w:val="00732DA0"/>
    <w:rsid w:val="00733CD6"/>
    <w:rsid w:val="00733EFA"/>
    <w:rsid w:val="00735810"/>
    <w:rsid w:val="0073612F"/>
    <w:rsid w:val="0073669E"/>
    <w:rsid w:val="007366BA"/>
    <w:rsid w:val="007403D3"/>
    <w:rsid w:val="00741A5C"/>
    <w:rsid w:val="00741F57"/>
    <w:rsid w:val="00743F41"/>
    <w:rsid w:val="007440BA"/>
    <w:rsid w:val="00745A5A"/>
    <w:rsid w:val="00745BAE"/>
    <w:rsid w:val="0074634C"/>
    <w:rsid w:val="007464DD"/>
    <w:rsid w:val="007477B0"/>
    <w:rsid w:val="00750F37"/>
    <w:rsid w:val="00752554"/>
    <w:rsid w:val="00753BFB"/>
    <w:rsid w:val="00753E14"/>
    <w:rsid w:val="00754A5D"/>
    <w:rsid w:val="00754BE3"/>
    <w:rsid w:val="00754F0F"/>
    <w:rsid w:val="00755D96"/>
    <w:rsid w:val="00755E60"/>
    <w:rsid w:val="00757789"/>
    <w:rsid w:val="00757E61"/>
    <w:rsid w:val="0076046C"/>
    <w:rsid w:val="0076051B"/>
    <w:rsid w:val="00761B18"/>
    <w:rsid w:val="007629A3"/>
    <w:rsid w:val="00763E7F"/>
    <w:rsid w:val="00763EB0"/>
    <w:rsid w:val="00764C86"/>
    <w:rsid w:val="0076597B"/>
    <w:rsid w:val="00765DA2"/>
    <w:rsid w:val="00766B19"/>
    <w:rsid w:val="00766F3A"/>
    <w:rsid w:val="007678FF"/>
    <w:rsid w:val="00767DC8"/>
    <w:rsid w:val="00771599"/>
    <w:rsid w:val="00771C16"/>
    <w:rsid w:val="00772202"/>
    <w:rsid w:val="0077409F"/>
    <w:rsid w:val="00774F6F"/>
    <w:rsid w:val="007816A2"/>
    <w:rsid w:val="00781BFC"/>
    <w:rsid w:val="00781C91"/>
    <w:rsid w:val="00783107"/>
    <w:rsid w:val="00783569"/>
    <w:rsid w:val="0078378F"/>
    <w:rsid w:val="00783D3A"/>
    <w:rsid w:val="00784012"/>
    <w:rsid w:val="0078483F"/>
    <w:rsid w:val="007848CE"/>
    <w:rsid w:val="00785D09"/>
    <w:rsid w:val="0078624C"/>
    <w:rsid w:val="00787482"/>
    <w:rsid w:val="00787532"/>
    <w:rsid w:val="00787565"/>
    <w:rsid w:val="00787B93"/>
    <w:rsid w:val="00787E09"/>
    <w:rsid w:val="0079056A"/>
    <w:rsid w:val="007916D3"/>
    <w:rsid w:val="00791CE3"/>
    <w:rsid w:val="00792165"/>
    <w:rsid w:val="00792256"/>
    <w:rsid w:val="00792CEA"/>
    <w:rsid w:val="00792EE1"/>
    <w:rsid w:val="00794278"/>
    <w:rsid w:val="00794F8C"/>
    <w:rsid w:val="0079545A"/>
    <w:rsid w:val="00795AC4"/>
    <w:rsid w:val="007962A3"/>
    <w:rsid w:val="00796893"/>
    <w:rsid w:val="00796A4E"/>
    <w:rsid w:val="007975FD"/>
    <w:rsid w:val="00797675"/>
    <w:rsid w:val="00797DEF"/>
    <w:rsid w:val="007A0298"/>
    <w:rsid w:val="007A11EF"/>
    <w:rsid w:val="007A1844"/>
    <w:rsid w:val="007A1A88"/>
    <w:rsid w:val="007A1C3F"/>
    <w:rsid w:val="007A2A93"/>
    <w:rsid w:val="007A2DB5"/>
    <w:rsid w:val="007A305C"/>
    <w:rsid w:val="007A336B"/>
    <w:rsid w:val="007A3701"/>
    <w:rsid w:val="007A3963"/>
    <w:rsid w:val="007A3984"/>
    <w:rsid w:val="007A3C9F"/>
    <w:rsid w:val="007A4154"/>
    <w:rsid w:val="007A4163"/>
    <w:rsid w:val="007A4D08"/>
    <w:rsid w:val="007A4E17"/>
    <w:rsid w:val="007A4E87"/>
    <w:rsid w:val="007A5609"/>
    <w:rsid w:val="007A5C8B"/>
    <w:rsid w:val="007A63CA"/>
    <w:rsid w:val="007A6BE3"/>
    <w:rsid w:val="007A74CC"/>
    <w:rsid w:val="007B0169"/>
    <w:rsid w:val="007B0823"/>
    <w:rsid w:val="007B1B75"/>
    <w:rsid w:val="007B1C40"/>
    <w:rsid w:val="007B23AC"/>
    <w:rsid w:val="007B26AC"/>
    <w:rsid w:val="007B320B"/>
    <w:rsid w:val="007B3486"/>
    <w:rsid w:val="007B4728"/>
    <w:rsid w:val="007B487C"/>
    <w:rsid w:val="007B4EC0"/>
    <w:rsid w:val="007B5BC0"/>
    <w:rsid w:val="007B605F"/>
    <w:rsid w:val="007B61EB"/>
    <w:rsid w:val="007B6A16"/>
    <w:rsid w:val="007B6C37"/>
    <w:rsid w:val="007B6FCF"/>
    <w:rsid w:val="007B7598"/>
    <w:rsid w:val="007B75DD"/>
    <w:rsid w:val="007B79AF"/>
    <w:rsid w:val="007C0C45"/>
    <w:rsid w:val="007C1BB2"/>
    <w:rsid w:val="007C4A4B"/>
    <w:rsid w:val="007C4CA8"/>
    <w:rsid w:val="007C501E"/>
    <w:rsid w:val="007C6050"/>
    <w:rsid w:val="007C6874"/>
    <w:rsid w:val="007C721F"/>
    <w:rsid w:val="007C77A9"/>
    <w:rsid w:val="007C7B00"/>
    <w:rsid w:val="007D0000"/>
    <w:rsid w:val="007D164D"/>
    <w:rsid w:val="007D3C2D"/>
    <w:rsid w:val="007D46E7"/>
    <w:rsid w:val="007D4D05"/>
    <w:rsid w:val="007D69E8"/>
    <w:rsid w:val="007D72BC"/>
    <w:rsid w:val="007D7F6F"/>
    <w:rsid w:val="007E0FFC"/>
    <w:rsid w:val="007E1DE0"/>
    <w:rsid w:val="007E3771"/>
    <w:rsid w:val="007E46A6"/>
    <w:rsid w:val="007E5D39"/>
    <w:rsid w:val="007E6117"/>
    <w:rsid w:val="007E6284"/>
    <w:rsid w:val="007E62D2"/>
    <w:rsid w:val="007E6E9B"/>
    <w:rsid w:val="007E73A7"/>
    <w:rsid w:val="007E77EC"/>
    <w:rsid w:val="007F01FF"/>
    <w:rsid w:val="007F0542"/>
    <w:rsid w:val="007F0787"/>
    <w:rsid w:val="007F08BC"/>
    <w:rsid w:val="007F1B57"/>
    <w:rsid w:val="007F1BE3"/>
    <w:rsid w:val="007F290C"/>
    <w:rsid w:val="007F31AE"/>
    <w:rsid w:val="007F35D8"/>
    <w:rsid w:val="007F3B97"/>
    <w:rsid w:val="007F3CD6"/>
    <w:rsid w:val="007F4012"/>
    <w:rsid w:val="007F53EB"/>
    <w:rsid w:val="007F5687"/>
    <w:rsid w:val="007F5A2D"/>
    <w:rsid w:val="007F74B0"/>
    <w:rsid w:val="0080038A"/>
    <w:rsid w:val="00800AA0"/>
    <w:rsid w:val="008012C1"/>
    <w:rsid w:val="008013A1"/>
    <w:rsid w:val="008019BB"/>
    <w:rsid w:val="008022AA"/>
    <w:rsid w:val="0080320A"/>
    <w:rsid w:val="00803DA0"/>
    <w:rsid w:val="00804F41"/>
    <w:rsid w:val="00805A8B"/>
    <w:rsid w:val="00805CB1"/>
    <w:rsid w:val="008066AD"/>
    <w:rsid w:val="0080706F"/>
    <w:rsid w:val="00807137"/>
    <w:rsid w:val="00807364"/>
    <w:rsid w:val="008075AB"/>
    <w:rsid w:val="008076D6"/>
    <w:rsid w:val="008078BA"/>
    <w:rsid w:val="00810D58"/>
    <w:rsid w:val="00812E0A"/>
    <w:rsid w:val="00813BB0"/>
    <w:rsid w:val="0081468E"/>
    <w:rsid w:val="008148EA"/>
    <w:rsid w:val="008162FF"/>
    <w:rsid w:val="00816794"/>
    <w:rsid w:val="00817CA5"/>
    <w:rsid w:val="00817D97"/>
    <w:rsid w:val="008204A3"/>
    <w:rsid w:val="00821CBE"/>
    <w:rsid w:val="00822D69"/>
    <w:rsid w:val="0082323B"/>
    <w:rsid w:val="008253FA"/>
    <w:rsid w:val="00825422"/>
    <w:rsid w:val="008260DD"/>
    <w:rsid w:val="008266A7"/>
    <w:rsid w:val="00826F7B"/>
    <w:rsid w:val="00827B85"/>
    <w:rsid w:val="00830C2E"/>
    <w:rsid w:val="008310A0"/>
    <w:rsid w:val="0083147D"/>
    <w:rsid w:val="008316D3"/>
    <w:rsid w:val="00831B5C"/>
    <w:rsid w:val="00831F10"/>
    <w:rsid w:val="008321D1"/>
    <w:rsid w:val="0083281C"/>
    <w:rsid w:val="00832915"/>
    <w:rsid w:val="0083434B"/>
    <w:rsid w:val="00834421"/>
    <w:rsid w:val="00835AEA"/>
    <w:rsid w:val="00835DAA"/>
    <w:rsid w:val="008360D5"/>
    <w:rsid w:val="0083657E"/>
    <w:rsid w:val="00837672"/>
    <w:rsid w:val="008377B9"/>
    <w:rsid w:val="00840BDF"/>
    <w:rsid w:val="00840BEC"/>
    <w:rsid w:val="0084135C"/>
    <w:rsid w:val="008413E9"/>
    <w:rsid w:val="00843682"/>
    <w:rsid w:val="00843945"/>
    <w:rsid w:val="00844401"/>
    <w:rsid w:val="00845115"/>
    <w:rsid w:val="00845A91"/>
    <w:rsid w:val="00845C7F"/>
    <w:rsid w:val="00846C28"/>
    <w:rsid w:val="00846F76"/>
    <w:rsid w:val="008479C6"/>
    <w:rsid w:val="008500A5"/>
    <w:rsid w:val="00850213"/>
    <w:rsid w:val="0085201A"/>
    <w:rsid w:val="008521EF"/>
    <w:rsid w:val="00852493"/>
    <w:rsid w:val="0085275C"/>
    <w:rsid w:val="00854A6C"/>
    <w:rsid w:val="00854CDE"/>
    <w:rsid w:val="008555B5"/>
    <w:rsid w:val="00855FB5"/>
    <w:rsid w:val="008561B0"/>
    <w:rsid w:val="0085734E"/>
    <w:rsid w:val="00857B33"/>
    <w:rsid w:val="00857FB7"/>
    <w:rsid w:val="00860F42"/>
    <w:rsid w:val="008615FB"/>
    <w:rsid w:val="00861AF4"/>
    <w:rsid w:val="00862CB7"/>
    <w:rsid w:val="00862D21"/>
    <w:rsid w:val="00863141"/>
    <w:rsid w:val="00863414"/>
    <w:rsid w:val="00863D0B"/>
    <w:rsid w:val="00864B3C"/>
    <w:rsid w:val="00870AD3"/>
    <w:rsid w:val="00871836"/>
    <w:rsid w:val="00873CA9"/>
    <w:rsid w:val="008743CA"/>
    <w:rsid w:val="00876378"/>
    <w:rsid w:val="00876653"/>
    <w:rsid w:val="008768EA"/>
    <w:rsid w:val="00876C63"/>
    <w:rsid w:val="0087701C"/>
    <w:rsid w:val="008776AA"/>
    <w:rsid w:val="00877F04"/>
    <w:rsid w:val="008807AB"/>
    <w:rsid w:val="00880938"/>
    <w:rsid w:val="00881475"/>
    <w:rsid w:val="00881625"/>
    <w:rsid w:val="00881ABF"/>
    <w:rsid w:val="00881B6A"/>
    <w:rsid w:val="00881F2E"/>
    <w:rsid w:val="00885A35"/>
    <w:rsid w:val="00885A60"/>
    <w:rsid w:val="00885E3A"/>
    <w:rsid w:val="0088693E"/>
    <w:rsid w:val="00886969"/>
    <w:rsid w:val="008909D5"/>
    <w:rsid w:val="0089195C"/>
    <w:rsid w:val="008924C3"/>
    <w:rsid w:val="00894784"/>
    <w:rsid w:val="00895A92"/>
    <w:rsid w:val="00897EDA"/>
    <w:rsid w:val="008A1632"/>
    <w:rsid w:val="008A165D"/>
    <w:rsid w:val="008A1D6E"/>
    <w:rsid w:val="008A242B"/>
    <w:rsid w:val="008A25F3"/>
    <w:rsid w:val="008A2685"/>
    <w:rsid w:val="008A2E76"/>
    <w:rsid w:val="008A3511"/>
    <w:rsid w:val="008A3DF2"/>
    <w:rsid w:val="008A4ACD"/>
    <w:rsid w:val="008A4C1E"/>
    <w:rsid w:val="008A5B17"/>
    <w:rsid w:val="008A6DAF"/>
    <w:rsid w:val="008A78D4"/>
    <w:rsid w:val="008B0FCF"/>
    <w:rsid w:val="008B10C2"/>
    <w:rsid w:val="008B13C6"/>
    <w:rsid w:val="008B2EF8"/>
    <w:rsid w:val="008B3915"/>
    <w:rsid w:val="008B4863"/>
    <w:rsid w:val="008B4BC4"/>
    <w:rsid w:val="008B5B7D"/>
    <w:rsid w:val="008B5F9B"/>
    <w:rsid w:val="008B62FA"/>
    <w:rsid w:val="008C0A21"/>
    <w:rsid w:val="008C125B"/>
    <w:rsid w:val="008C1D32"/>
    <w:rsid w:val="008C25A9"/>
    <w:rsid w:val="008C3747"/>
    <w:rsid w:val="008C3E8C"/>
    <w:rsid w:val="008C43EC"/>
    <w:rsid w:val="008C48DA"/>
    <w:rsid w:val="008C6F4E"/>
    <w:rsid w:val="008C7F75"/>
    <w:rsid w:val="008D0544"/>
    <w:rsid w:val="008D0694"/>
    <w:rsid w:val="008D07EF"/>
    <w:rsid w:val="008D305A"/>
    <w:rsid w:val="008D36E1"/>
    <w:rsid w:val="008D3B13"/>
    <w:rsid w:val="008D43D4"/>
    <w:rsid w:val="008D5047"/>
    <w:rsid w:val="008D5410"/>
    <w:rsid w:val="008D67CE"/>
    <w:rsid w:val="008D7020"/>
    <w:rsid w:val="008D7500"/>
    <w:rsid w:val="008D77C5"/>
    <w:rsid w:val="008E0715"/>
    <w:rsid w:val="008E128A"/>
    <w:rsid w:val="008E1A41"/>
    <w:rsid w:val="008E1CCB"/>
    <w:rsid w:val="008E1ED5"/>
    <w:rsid w:val="008E2543"/>
    <w:rsid w:val="008E3700"/>
    <w:rsid w:val="008E4057"/>
    <w:rsid w:val="008E4929"/>
    <w:rsid w:val="008E4A9B"/>
    <w:rsid w:val="008E5530"/>
    <w:rsid w:val="008E5A85"/>
    <w:rsid w:val="008E7241"/>
    <w:rsid w:val="008E725B"/>
    <w:rsid w:val="008F13B3"/>
    <w:rsid w:val="008F1537"/>
    <w:rsid w:val="008F302B"/>
    <w:rsid w:val="008F3089"/>
    <w:rsid w:val="008F3EA8"/>
    <w:rsid w:val="008F3FC3"/>
    <w:rsid w:val="008F4BD1"/>
    <w:rsid w:val="008F5059"/>
    <w:rsid w:val="008F5139"/>
    <w:rsid w:val="008F5180"/>
    <w:rsid w:val="008F5328"/>
    <w:rsid w:val="008F596C"/>
    <w:rsid w:val="008F63B0"/>
    <w:rsid w:val="008F78BE"/>
    <w:rsid w:val="008F7950"/>
    <w:rsid w:val="00900DB2"/>
    <w:rsid w:val="00900DF9"/>
    <w:rsid w:val="00901AF1"/>
    <w:rsid w:val="00901E58"/>
    <w:rsid w:val="0090240B"/>
    <w:rsid w:val="00902D65"/>
    <w:rsid w:val="00902E77"/>
    <w:rsid w:val="00903C3A"/>
    <w:rsid w:val="0090457A"/>
    <w:rsid w:val="00904BAA"/>
    <w:rsid w:val="00906CD4"/>
    <w:rsid w:val="009078C5"/>
    <w:rsid w:val="009100A4"/>
    <w:rsid w:val="009108B0"/>
    <w:rsid w:val="00910DB8"/>
    <w:rsid w:val="0091151A"/>
    <w:rsid w:val="0091219A"/>
    <w:rsid w:val="0091262F"/>
    <w:rsid w:val="00912B0E"/>
    <w:rsid w:val="00914F3D"/>
    <w:rsid w:val="00915ECD"/>
    <w:rsid w:val="009163BB"/>
    <w:rsid w:val="00916CC7"/>
    <w:rsid w:val="00916F8E"/>
    <w:rsid w:val="00917377"/>
    <w:rsid w:val="00920D15"/>
    <w:rsid w:val="00921764"/>
    <w:rsid w:val="00921857"/>
    <w:rsid w:val="00921A4F"/>
    <w:rsid w:val="00922B84"/>
    <w:rsid w:val="00922EB7"/>
    <w:rsid w:val="0092353E"/>
    <w:rsid w:val="00923DA7"/>
    <w:rsid w:val="00924FF7"/>
    <w:rsid w:val="0092542D"/>
    <w:rsid w:val="009261E8"/>
    <w:rsid w:val="00927F42"/>
    <w:rsid w:val="009305F8"/>
    <w:rsid w:val="00931425"/>
    <w:rsid w:val="009315BF"/>
    <w:rsid w:val="00931B39"/>
    <w:rsid w:val="00931D85"/>
    <w:rsid w:val="0093218E"/>
    <w:rsid w:val="00932943"/>
    <w:rsid w:val="00932CC2"/>
    <w:rsid w:val="00933348"/>
    <w:rsid w:val="00933F15"/>
    <w:rsid w:val="00934028"/>
    <w:rsid w:val="0093408A"/>
    <w:rsid w:val="009345B1"/>
    <w:rsid w:val="00934DE1"/>
    <w:rsid w:val="0093567E"/>
    <w:rsid w:val="00935813"/>
    <w:rsid w:val="00937035"/>
    <w:rsid w:val="009375DE"/>
    <w:rsid w:val="00937614"/>
    <w:rsid w:val="00940662"/>
    <w:rsid w:val="0094130A"/>
    <w:rsid w:val="00941D8C"/>
    <w:rsid w:val="009420C8"/>
    <w:rsid w:val="00942E7B"/>
    <w:rsid w:val="00943B23"/>
    <w:rsid w:val="00943C8B"/>
    <w:rsid w:val="00945132"/>
    <w:rsid w:val="00946315"/>
    <w:rsid w:val="009465E7"/>
    <w:rsid w:val="00946B46"/>
    <w:rsid w:val="00950272"/>
    <w:rsid w:val="00950553"/>
    <w:rsid w:val="009505A7"/>
    <w:rsid w:val="009518D2"/>
    <w:rsid w:val="0095340C"/>
    <w:rsid w:val="00954A02"/>
    <w:rsid w:val="00954B59"/>
    <w:rsid w:val="00954D53"/>
    <w:rsid w:val="00954EBB"/>
    <w:rsid w:val="00955686"/>
    <w:rsid w:val="00956109"/>
    <w:rsid w:val="00956BB2"/>
    <w:rsid w:val="00957126"/>
    <w:rsid w:val="009571F2"/>
    <w:rsid w:val="00957272"/>
    <w:rsid w:val="0095763E"/>
    <w:rsid w:val="00957D6E"/>
    <w:rsid w:val="009600C4"/>
    <w:rsid w:val="0096030C"/>
    <w:rsid w:val="0096054F"/>
    <w:rsid w:val="00961DED"/>
    <w:rsid w:val="00962566"/>
    <w:rsid w:val="0096453B"/>
    <w:rsid w:val="0096482A"/>
    <w:rsid w:val="00965458"/>
    <w:rsid w:val="00965744"/>
    <w:rsid w:val="00965760"/>
    <w:rsid w:val="00966853"/>
    <w:rsid w:val="009673C2"/>
    <w:rsid w:val="0096742E"/>
    <w:rsid w:val="00970373"/>
    <w:rsid w:val="00971897"/>
    <w:rsid w:val="009718D1"/>
    <w:rsid w:val="00971D27"/>
    <w:rsid w:val="00972EB6"/>
    <w:rsid w:val="0097566C"/>
    <w:rsid w:val="00976615"/>
    <w:rsid w:val="00976793"/>
    <w:rsid w:val="00976DD6"/>
    <w:rsid w:val="00977122"/>
    <w:rsid w:val="00977586"/>
    <w:rsid w:val="009777B7"/>
    <w:rsid w:val="00980100"/>
    <w:rsid w:val="0098447D"/>
    <w:rsid w:val="0098567F"/>
    <w:rsid w:val="00985A2B"/>
    <w:rsid w:val="009876C0"/>
    <w:rsid w:val="00990B79"/>
    <w:rsid w:val="00991640"/>
    <w:rsid w:val="0099203C"/>
    <w:rsid w:val="0099240E"/>
    <w:rsid w:val="0099259F"/>
    <w:rsid w:val="009939A8"/>
    <w:rsid w:val="00993C18"/>
    <w:rsid w:val="009956F0"/>
    <w:rsid w:val="009970C9"/>
    <w:rsid w:val="009A0226"/>
    <w:rsid w:val="009A0380"/>
    <w:rsid w:val="009A092A"/>
    <w:rsid w:val="009A0B42"/>
    <w:rsid w:val="009A1391"/>
    <w:rsid w:val="009A2557"/>
    <w:rsid w:val="009A2EFA"/>
    <w:rsid w:val="009A43B7"/>
    <w:rsid w:val="009A4753"/>
    <w:rsid w:val="009A5101"/>
    <w:rsid w:val="009A5E26"/>
    <w:rsid w:val="009A5E54"/>
    <w:rsid w:val="009A6FA3"/>
    <w:rsid w:val="009B0424"/>
    <w:rsid w:val="009B09B3"/>
    <w:rsid w:val="009B100E"/>
    <w:rsid w:val="009B1102"/>
    <w:rsid w:val="009B15F9"/>
    <w:rsid w:val="009B26BB"/>
    <w:rsid w:val="009B2CCD"/>
    <w:rsid w:val="009B3C38"/>
    <w:rsid w:val="009B4123"/>
    <w:rsid w:val="009B435D"/>
    <w:rsid w:val="009B4544"/>
    <w:rsid w:val="009B54E8"/>
    <w:rsid w:val="009C027C"/>
    <w:rsid w:val="009C054C"/>
    <w:rsid w:val="009C0DD3"/>
    <w:rsid w:val="009C23D2"/>
    <w:rsid w:val="009C3985"/>
    <w:rsid w:val="009C39D8"/>
    <w:rsid w:val="009C4322"/>
    <w:rsid w:val="009C4323"/>
    <w:rsid w:val="009C4692"/>
    <w:rsid w:val="009C46F2"/>
    <w:rsid w:val="009C4A2C"/>
    <w:rsid w:val="009C5604"/>
    <w:rsid w:val="009C6146"/>
    <w:rsid w:val="009C6EAA"/>
    <w:rsid w:val="009D1268"/>
    <w:rsid w:val="009D16BE"/>
    <w:rsid w:val="009D1FAA"/>
    <w:rsid w:val="009D21B1"/>
    <w:rsid w:val="009D2540"/>
    <w:rsid w:val="009D2E1A"/>
    <w:rsid w:val="009D3B5A"/>
    <w:rsid w:val="009D4FA1"/>
    <w:rsid w:val="009D51F8"/>
    <w:rsid w:val="009D565D"/>
    <w:rsid w:val="009D6219"/>
    <w:rsid w:val="009D63C9"/>
    <w:rsid w:val="009D64D7"/>
    <w:rsid w:val="009D6E1E"/>
    <w:rsid w:val="009D6F57"/>
    <w:rsid w:val="009D7BC0"/>
    <w:rsid w:val="009E08C2"/>
    <w:rsid w:val="009E0A7E"/>
    <w:rsid w:val="009E0CEB"/>
    <w:rsid w:val="009E4084"/>
    <w:rsid w:val="009E43AD"/>
    <w:rsid w:val="009E54DA"/>
    <w:rsid w:val="009E55C4"/>
    <w:rsid w:val="009E5C47"/>
    <w:rsid w:val="009E6078"/>
    <w:rsid w:val="009E60F6"/>
    <w:rsid w:val="009E6DAC"/>
    <w:rsid w:val="009E774E"/>
    <w:rsid w:val="009E7E6A"/>
    <w:rsid w:val="009F0BF9"/>
    <w:rsid w:val="009F29F9"/>
    <w:rsid w:val="009F33DF"/>
    <w:rsid w:val="009F4117"/>
    <w:rsid w:val="009F4654"/>
    <w:rsid w:val="009F4D0F"/>
    <w:rsid w:val="009F4EDA"/>
    <w:rsid w:val="009F6115"/>
    <w:rsid w:val="009F6AA0"/>
    <w:rsid w:val="009F6F97"/>
    <w:rsid w:val="009F7607"/>
    <w:rsid w:val="009F7DAC"/>
    <w:rsid w:val="009F7EBA"/>
    <w:rsid w:val="00A01813"/>
    <w:rsid w:val="00A01D41"/>
    <w:rsid w:val="00A04F2A"/>
    <w:rsid w:val="00A0538A"/>
    <w:rsid w:val="00A0701E"/>
    <w:rsid w:val="00A1077B"/>
    <w:rsid w:val="00A10906"/>
    <w:rsid w:val="00A10C32"/>
    <w:rsid w:val="00A10C6E"/>
    <w:rsid w:val="00A10D42"/>
    <w:rsid w:val="00A1152E"/>
    <w:rsid w:val="00A116A0"/>
    <w:rsid w:val="00A11A45"/>
    <w:rsid w:val="00A11BCC"/>
    <w:rsid w:val="00A13051"/>
    <w:rsid w:val="00A134F3"/>
    <w:rsid w:val="00A15C70"/>
    <w:rsid w:val="00A166F0"/>
    <w:rsid w:val="00A167BE"/>
    <w:rsid w:val="00A17D67"/>
    <w:rsid w:val="00A21EAD"/>
    <w:rsid w:val="00A22D40"/>
    <w:rsid w:val="00A236D3"/>
    <w:rsid w:val="00A25128"/>
    <w:rsid w:val="00A251EC"/>
    <w:rsid w:val="00A276B7"/>
    <w:rsid w:val="00A307F8"/>
    <w:rsid w:val="00A30923"/>
    <w:rsid w:val="00A30EEB"/>
    <w:rsid w:val="00A315E3"/>
    <w:rsid w:val="00A31D5C"/>
    <w:rsid w:val="00A32457"/>
    <w:rsid w:val="00A328A2"/>
    <w:rsid w:val="00A328DF"/>
    <w:rsid w:val="00A32D02"/>
    <w:rsid w:val="00A33488"/>
    <w:rsid w:val="00A3479D"/>
    <w:rsid w:val="00A34971"/>
    <w:rsid w:val="00A353DD"/>
    <w:rsid w:val="00A35B3D"/>
    <w:rsid w:val="00A35D25"/>
    <w:rsid w:val="00A36ED3"/>
    <w:rsid w:val="00A372B3"/>
    <w:rsid w:val="00A37501"/>
    <w:rsid w:val="00A37B87"/>
    <w:rsid w:val="00A40BCD"/>
    <w:rsid w:val="00A410A4"/>
    <w:rsid w:val="00A41708"/>
    <w:rsid w:val="00A422F3"/>
    <w:rsid w:val="00A43EEF"/>
    <w:rsid w:val="00A45C69"/>
    <w:rsid w:val="00A4602F"/>
    <w:rsid w:val="00A46198"/>
    <w:rsid w:val="00A466A5"/>
    <w:rsid w:val="00A46AB5"/>
    <w:rsid w:val="00A46B15"/>
    <w:rsid w:val="00A47107"/>
    <w:rsid w:val="00A50D48"/>
    <w:rsid w:val="00A517EF"/>
    <w:rsid w:val="00A51DCB"/>
    <w:rsid w:val="00A52B8B"/>
    <w:rsid w:val="00A52E16"/>
    <w:rsid w:val="00A53D14"/>
    <w:rsid w:val="00A53F81"/>
    <w:rsid w:val="00A549C2"/>
    <w:rsid w:val="00A55D21"/>
    <w:rsid w:val="00A56496"/>
    <w:rsid w:val="00A56795"/>
    <w:rsid w:val="00A57AD8"/>
    <w:rsid w:val="00A60595"/>
    <w:rsid w:val="00A60609"/>
    <w:rsid w:val="00A607BD"/>
    <w:rsid w:val="00A620DB"/>
    <w:rsid w:val="00A623AE"/>
    <w:rsid w:val="00A624C0"/>
    <w:rsid w:val="00A6324D"/>
    <w:rsid w:val="00A6608F"/>
    <w:rsid w:val="00A673DA"/>
    <w:rsid w:val="00A67AB3"/>
    <w:rsid w:val="00A705D7"/>
    <w:rsid w:val="00A70BF4"/>
    <w:rsid w:val="00A71494"/>
    <w:rsid w:val="00A716C3"/>
    <w:rsid w:val="00A71921"/>
    <w:rsid w:val="00A72325"/>
    <w:rsid w:val="00A723DE"/>
    <w:rsid w:val="00A73995"/>
    <w:rsid w:val="00A73D66"/>
    <w:rsid w:val="00A73D75"/>
    <w:rsid w:val="00A7468C"/>
    <w:rsid w:val="00A74695"/>
    <w:rsid w:val="00A749CD"/>
    <w:rsid w:val="00A75B0E"/>
    <w:rsid w:val="00A770F1"/>
    <w:rsid w:val="00A77695"/>
    <w:rsid w:val="00A776F8"/>
    <w:rsid w:val="00A77CCB"/>
    <w:rsid w:val="00A77E51"/>
    <w:rsid w:val="00A812C2"/>
    <w:rsid w:val="00A81E90"/>
    <w:rsid w:val="00A82989"/>
    <w:rsid w:val="00A8315B"/>
    <w:rsid w:val="00A84999"/>
    <w:rsid w:val="00A84F20"/>
    <w:rsid w:val="00A857B5"/>
    <w:rsid w:val="00A85A98"/>
    <w:rsid w:val="00A86C8B"/>
    <w:rsid w:val="00A8730F"/>
    <w:rsid w:val="00A905D1"/>
    <w:rsid w:val="00A90C0D"/>
    <w:rsid w:val="00A911FA"/>
    <w:rsid w:val="00A91C4A"/>
    <w:rsid w:val="00A92091"/>
    <w:rsid w:val="00A92BAC"/>
    <w:rsid w:val="00A93A39"/>
    <w:rsid w:val="00A93BFE"/>
    <w:rsid w:val="00A948A5"/>
    <w:rsid w:val="00A953F5"/>
    <w:rsid w:val="00A955F3"/>
    <w:rsid w:val="00A97251"/>
    <w:rsid w:val="00AA1364"/>
    <w:rsid w:val="00AA191F"/>
    <w:rsid w:val="00AA1FFD"/>
    <w:rsid w:val="00AA2586"/>
    <w:rsid w:val="00AA32D4"/>
    <w:rsid w:val="00AA33EC"/>
    <w:rsid w:val="00AA3D9A"/>
    <w:rsid w:val="00AA4A5A"/>
    <w:rsid w:val="00AA4AE8"/>
    <w:rsid w:val="00AA5716"/>
    <w:rsid w:val="00AA57EC"/>
    <w:rsid w:val="00AA5C8D"/>
    <w:rsid w:val="00AA6676"/>
    <w:rsid w:val="00AA69B3"/>
    <w:rsid w:val="00AA6BAC"/>
    <w:rsid w:val="00AA6C2D"/>
    <w:rsid w:val="00AA7329"/>
    <w:rsid w:val="00AB1CFA"/>
    <w:rsid w:val="00AB4CC5"/>
    <w:rsid w:val="00AB55D3"/>
    <w:rsid w:val="00AB572B"/>
    <w:rsid w:val="00AB5B68"/>
    <w:rsid w:val="00AB66DB"/>
    <w:rsid w:val="00AB6DDF"/>
    <w:rsid w:val="00AB7996"/>
    <w:rsid w:val="00AB7F33"/>
    <w:rsid w:val="00AC0884"/>
    <w:rsid w:val="00AC2AA6"/>
    <w:rsid w:val="00AC2CFA"/>
    <w:rsid w:val="00AC3983"/>
    <w:rsid w:val="00AC4015"/>
    <w:rsid w:val="00AC4CD1"/>
    <w:rsid w:val="00AC4F6A"/>
    <w:rsid w:val="00AC5129"/>
    <w:rsid w:val="00AC513E"/>
    <w:rsid w:val="00AC68C4"/>
    <w:rsid w:val="00AC6B52"/>
    <w:rsid w:val="00AC6B83"/>
    <w:rsid w:val="00AC733E"/>
    <w:rsid w:val="00AC76D5"/>
    <w:rsid w:val="00AD1A7C"/>
    <w:rsid w:val="00AD2A92"/>
    <w:rsid w:val="00AD34FA"/>
    <w:rsid w:val="00AD396A"/>
    <w:rsid w:val="00AD3CC2"/>
    <w:rsid w:val="00AD3E3F"/>
    <w:rsid w:val="00AD4335"/>
    <w:rsid w:val="00AD6423"/>
    <w:rsid w:val="00AD688C"/>
    <w:rsid w:val="00AD6FDD"/>
    <w:rsid w:val="00AD73C1"/>
    <w:rsid w:val="00AD7D8B"/>
    <w:rsid w:val="00AE017F"/>
    <w:rsid w:val="00AE071D"/>
    <w:rsid w:val="00AE0DB0"/>
    <w:rsid w:val="00AE2389"/>
    <w:rsid w:val="00AE277F"/>
    <w:rsid w:val="00AE3430"/>
    <w:rsid w:val="00AE7938"/>
    <w:rsid w:val="00AF0505"/>
    <w:rsid w:val="00AF0B11"/>
    <w:rsid w:val="00AF0C73"/>
    <w:rsid w:val="00AF2933"/>
    <w:rsid w:val="00AF2D64"/>
    <w:rsid w:val="00AF3112"/>
    <w:rsid w:val="00AF4425"/>
    <w:rsid w:val="00AF47E8"/>
    <w:rsid w:val="00AF4CA9"/>
    <w:rsid w:val="00AF5CA9"/>
    <w:rsid w:val="00AF5CBA"/>
    <w:rsid w:val="00AF5E77"/>
    <w:rsid w:val="00AF6689"/>
    <w:rsid w:val="00AF6AF2"/>
    <w:rsid w:val="00AF7783"/>
    <w:rsid w:val="00AF7861"/>
    <w:rsid w:val="00AF7A0F"/>
    <w:rsid w:val="00AF7E66"/>
    <w:rsid w:val="00B00129"/>
    <w:rsid w:val="00B00A32"/>
    <w:rsid w:val="00B00F42"/>
    <w:rsid w:val="00B014CB"/>
    <w:rsid w:val="00B01685"/>
    <w:rsid w:val="00B0185D"/>
    <w:rsid w:val="00B01A4F"/>
    <w:rsid w:val="00B03736"/>
    <w:rsid w:val="00B03988"/>
    <w:rsid w:val="00B03E3A"/>
    <w:rsid w:val="00B04C2E"/>
    <w:rsid w:val="00B056E1"/>
    <w:rsid w:val="00B05C6B"/>
    <w:rsid w:val="00B05FD5"/>
    <w:rsid w:val="00B06001"/>
    <w:rsid w:val="00B074EB"/>
    <w:rsid w:val="00B10065"/>
    <w:rsid w:val="00B100E5"/>
    <w:rsid w:val="00B107DE"/>
    <w:rsid w:val="00B10A08"/>
    <w:rsid w:val="00B113ED"/>
    <w:rsid w:val="00B124A8"/>
    <w:rsid w:val="00B1267C"/>
    <w:rsid w:val="00B134A8"/>
    <w:rsid w:val="00B13E33"/>
    <w:rsid w:val="00B1404F"/>
    <w:rsid w:val="00B155D9"/>
    <w:rsid w:val="00B1590F"/>
    <w:rsid w:val="00B16737"/>
    <w:rsid w:val="00B16A7C"/>
    <w:rsid w:val="00B16DCF"/>
    <w:rsid w:val="00B177DD"/>
    <w:rsid w:val="00B20443"/>
    <w:rsid w:val="00B20964"/>
    <w:rsid w:val="00B21876"/>
    <w:rsid w:val="00B224F2"/>
    <w:rsid w:val="00B23705"/>
    <w:rsid w:val="00B238A4"/>
    <w:rsid w:val="00B23BF2"/>
    <w:rsid w:val="00B23C1B"/>
    <w:rsid w:val="00B23C7A"/>
    <w:rsid w:val="00B24078"/>
    <w:rsid w:val="00B24513"/>
    <w:rsid w:val="00B24C35"/>
    <w:rsid w:val="00B255CB"/>
    <w:rsid w:val="00B25FE5"/>
    <w:rsid w:val="00B2668A"/>
    <w:rsid w:val="00B27114"/>
    <w:rsid w:val="00B2796A"/>
    <w:rsid w:val="00B30797"/>
    <w:rsid w:val="00B309E6"/>
    <w:rsid w:val="00B31916"/>
    <w:rsid w:val="00B327CA"/>
    <w:rsid w:val="00B32891"/>
    <w:rsid w:val="00B328C8"/>
    <w:rsid w:val="00B3290B"/>
    <w:rsid w:val="00B32FB9"/>
    <w:rsid w:val="00B33522"/>
    <w:rsid w:val="00B338C7"/>
    <w:rsid w:val="00B34509"/>
    <w:rsid w:val="00B35D88"/>
    <w:rsid w:val="00B35FA9"/>
    <w:rsid w:val="00B36669"/>
    <w:rsid w:val="00B36CA3"/>
    <w:rsid w:val="00B3741F"/>
    <w:rsid w:val="00B406A6"/>
    <w:rsid w:val="00B40E28"/>
    <w:rsid w:val="00B40F99"/>
    <w:rsid w:val="00B413BC"/>
    <w:rsid w:val="00B41800"/>
    <w:rsid w:val="00B4191D"/>
    <w:rsid w:val="00B420A4"/>
    <w:rsid w:val="00B42867"/>
    <w:rsid w:val="00B4352E"/>
    <w:rsid w:val="00B43CC4"/>
    <w:rsid w:val="00B4457A"/>
    <w:rsid w:val="00B450C4"/>
    <w:rsid w:val="00B45164"/>
    <w:rsid w:val="00B45855"/>
    <w:rsid w:val="00B45AB2"/>
    <w:rsid w:val="00B45DF2"/>
    <w:rsid w:val="00B464B5"/>
    <w:rsid w:val="00B4686C"/>
    <w:rsid w:val="00B46B41"/>
    <w:rsid w:val="00B46D25"/>
    <w:rsid w:val="00B47522"/>
    <w:rsid w:val="00B51CE5"/>
    <w:rsid w:val="00B51D56"/>
    <w:rsid w:val="00B51DCC"/>
    <w:rsid w:val="00B51EBD"/>
    <w:rsid w:val="00B523D4"/>
    <w:rsid w:val="00B52D4A"/>
    <w:rsid w:val="00B5319C"/>
    <w:rsid w:val="00B536A7"/>
    <w:rsid w:val="00B5430F"/>
    <w:rsid w:val="00B543E0"/>
    <w:rsid w:val="00B54887"/>
    <w:rsid w:val="00B5499F"/>
    <w:rsid w:val="00B54B64"/>
    <w:rsid w:val="00B561C7"/>
    <w:rsid w:val="00B57815"/>
    <w:rsid w:val="00B57E31"/>
    <w:rsid w:val="00B60568"/>
    <w:rsid w:val="00B61AE2"/>
    <w:rsid w:val="00B61C70"/>
    <w:rsid w:val="00B61D44"/>
    <w:rsid w:val="00B6249D"/>
    <w:rsid w:val="00B64643"/>
    <w:rsid w:val="00B64D0A"/>
    <w:rsid w:val="00B65F80"/>
    <w:rsid w:val="00B6636B"/>
    <w:rsid w:val="00B66460"/>
    <w:rsid w:val="00B70EC2"/>
    <w:rsid w:val="00B7159A"/>
    <w:rsid w:val="00B71C34"/>
    <w:rsid w:val="00B71E29"/>
    <w:rsid w:val="00B71F14"/>
    <w:rsid w:val="00B72781"/>
    <w:rsid w:val="00B736AA"/>
    <w:rsid w:val="00B74655"/>
    <w:rsid w:val="00B74811"/>
    <w:rsid w:val="00B7523E"/>
    <w:rsid w:val="00B753CF"/>
    <w:rsid w:val="00B7550F"/>
    <w:rsid w:val="00B76020"/>
    <w:rsid w:val="00B760A0"/>
    <w:rsid w:val="00B768DC"/>
    <w:rsid w:val="00B76A85"/>
    <w:rsid w:val="00B76F52"/>
    <w:rsid w:val="00B77567"/>
    <w:rsid w:val="00B81992"/>
    <w:rsid w:val="00B81F12"/>
    <w:rsid w:val="00B82192"/>
    <w:rsid w:val="00B831C5"/>
    <w:rsid w:val="00B8325F"/>
    <w:rsid w:val="00B83BF3"/>
    <w:rsid w:val="00B84212"/>
    <w:rsid w:val="00B8438B"/>
    <w:rsid w:val="00B84CC5"/>
    <w:rsid w:val="00B84D84"/>
    <w:rsid w:val="00B850C3"/>
    <w:rsid w:val="00B850EA"/>
    <w:rsid w:val="00B85F8F"/>
    <w:rsid w:val="00B8605A"/>
    <w:rsid w:val="00B86088"/>
    <w:rsid w:val="00B869F4"/>
    <w:rsid w:val="00B86FBB"/>
    <w:rsid w:val="00B870A9"/>
    <w:rsid w:val="00B877CC"/>
    <w:rsid w:val="00B87EDF"/>
    <w:rsid w:val="00B9085C"/>
    <w:rsid w:val="00B90EDB"/>
    <w:rsid w:val="00B919F8"/>
    <w:rsid w:val="00B923F3"/>
    <w:rsid w:val="00B9250E"/>
    <w:rsid w:val="00B9288F"/>
    <w:rsid w:val="00B94B0F"/>
    <w:rsid w:val="00B95639"/>
    <w:rsid w:val="00B95964"/>
    <w:rsid w:val="00B95971"/>
    <w:rsid w:val="00B96235"/>
    <w:rsid w:val="00B969A2"/>
    <w:rsid w:val="00B96E71"/>
    <w:rsid w:val="00B97EB7"/>
    <w:rsid w:val="00BA06E9"/>
    <w:rsid w:val="00BA15F8"/>
    <w:rsid w:val="00BA19F1"/>
    <w:rsid w:val="00BA1A06"/>
    <w:rsid w:val="00BA3C61"/>
    <w:rsid w:val="00BA40BD"/>
    <w:rsid w:val="00BA4DF2"/>
    <w:rsid w:val="00BA4FF3"/>
    <w:rsid w:val="00BA525B"/>
    <w:rsid w:val="00BA594B"/>
    <w:rsid w:val="00BA7246"/>
    <w:rsid w:val="00BA7587"/>
    <w:rsid w:val="00BA7F88"/>
    <w:rsid w:val="00BB0856"/>
    <w:rsid w:val="00BB0893"/>
    <w:rsid w:val="00BB08C2"/>
    <w:rsid w:val="00BB12C6"/>
    <w:rsid w:val="00BB140D"/>
    <w:rsid w:val="00BB1827"/>
    <w:rsid w:val="00BB21D4"/>
    <w:rsid w:val="00BB2DCE"/>
    <w:rsid w:val="00BB481F"/>
    <w:rsid w:val="00BB4B02"/>
    <w:rsid w:val="00BB6E57"/>
    <w:rsid w:val="00BC0904"/>
    <w:rsid w:val="00BC0AD4"/>
    <w:rsid w:val="00BC1273"/>
    <w:rsid w:val="00BC1892"/>
    <w:rsid w:val="00BC277B"/>
    <w:rsid w:val="00BC2D2F"/>
    <w:rsid w:val="00BC2F69"/>
    <w:rsid w:val="00BC34DA"/>
    <w:rsid w:val="00BC5206"/>
    <w:rsid w:val="00BC5298"/>
    <w:rsid w:val="00BC5320"/>
    <w:rsid w:val="00BC560A"/>
    <w:rsid w:val="00BC6D1C"/>
    <w:rsid w:val="00BD01C6"/>
    <w:rsid w:val="00BD13D3"/>
    <w:rsid w:val="00BD2ECE"/>
    <w:rsid w:val="00BD347E"/>
    <w:rsid w:val="00BD3CA3"/>
    <w:rsid w:val="00BD4D34"/>
    <w:rsid w:val="00BD4EAA"/>
    <w:rsid w:val="00BD5267"/>
    <w:rsid w:val="00BD559D"/>
    <w:rsid w:val="00BD6B55"/>
    <w:rsid w:val="00BD750C"/>
    <w:rsid w:val="00BD7615"/>
    <w:rsid w:val="00BD7673"/>
    <w:rsid w:val="00BE0633"/>
    <w:rsid w:val="00BE0EF3"/>
    <w:rsid w:val="00BE1541"/>
    <w:rsid w:val="00BE1BA1"/>
    <w:rsid w:val="00BE21F6"/>
    <w:rsid w:val="00BE2335"/>
    <w:rsid w:val="00BE23BA"/>
    <w:rsid w:val="00BE2F1D"/>
    <w:rsid w:val="00BE36C9"/>
    <w:rsid w:val="00BE3C14"/>
    <w:rsid w:val="00BE452D"/>
    <w:rsid w:val="00BE4D94"/>
    <w:rsid w:val="00BE5215"/>
    <w:rsid w:val="00BE57F4"/>
    <w:rsid w:val="00BE593A"/>
    <w:rsid w:val="00BE5C5C"/>
    <w:rsid w:val="00BF0874"/>
    <w:rsid w:val="00BF0D44"/>
    <w:rsid w:val="00BF35A2"/>
    <w:rsid w:val="00BF3C2F"/>
    <w:rsid w:val="00BF4421"/>
    <w:rsid w:val="00BF4479"/>
    <w:rsid w:val="00BF471E"/>
    <w:rsid w:val="00BF701D"/>
    <w:rsid w:val="00BF7E7F"/>
    <w:rsid w:val="00C00824"/>
    <w:rsid w:val="00C010D8"/>
    <w:rsid w:val="00C01262"/>
    <w:rsid w:val="00C02544"/>
    <w:rsid w:val="00C03856"/>
    <w:rsid w:val="00C03FE3"/>
    <w:rsid w:val="00C04673"/>
    <w:rsid w:val="00C04A55"/>
    <w:rsid w:val="00C050DA"/>
    <w:rsid w:val="00C059D5"/>
    <w:rsid w:val="00C06D5E"/>
    <w:rsid w:val="00C06F7E"/>
    <w:rsid w:val="00C071DD"/>
    <w:rsid w:val="00C07551"/>
    <w:rsid w:val="00C07AB7"/>
    <w:rsid w:val="00C07B43"/>
    <w:rsid w:val="00C07B70"/>
    <w:rsid w:val="00C106C0"/>
    <w:rsid w:val="00C10C51"/>
    <w:rsid w:val="00C10C7E"/>
    <w:rsid w:val="00C10D68"/>
    <w:rsid w:val="00C1219E"/>
    <w:rsid w:val="00C129DE"/>
    <w:rsid w:val="00C12F7C"/>
    <w:rsid w:val="00C13FFC"/>
    <w:rsid w:val="00C1498B"/>
    <w:rsid w:val="00C1532A"/>
    <w:rsid w:val="00C15A81"/>
    <w:rsid w:val="00C16E50"/>
    <w:rsid w:val="00C17E0B"/>
    <w:rsid w:val="00C21B5F"/>
    <w:rsid w:val="00C21D61"/>
    <w:rsid w:val="00C21F7E"/>
    <w:rsid w:val="00C21FD5"/>
    <w:rsid w:val="00C226C5"/>
    <w:rsid w:val="00C22EE3"/>
    <w:rsid w:val="00C231B0"/>
    <w:rsid w:val="00C239AA"/>
    <w:rsid w:val="00C2400B"/>
    <w:rsid w:val="00C240C2"/>
    <w:rsid w:val="00C2557A"/>
    <w:rsid w:val="00C26F39"/>
    <w:rsid w:val="00C27E24"/>
    <w:rsid w:val="00C27E9F"/>
    <w:rsid w:val="00C32014"/>
    <w:rsid w:val="00C32114"/>
    <w:rsid w:val="00C321EB"/>
    <w:rsid w:val="00C32D04"/>
    <w:rsid w:val="00C3330D"/>
    <w:rsid w:val="00C347EF"/>
    <w:rsid w:val="00C3555F"/>
    <w:rsid w:val="00C3557A"/>
    <w:rsid w:val="00C35C3E"/>
    <w:rsid w:val="00C35D73"/>
    <w:rsid w:val="00C35EC3"/>
    <w:rsid w:val="00C36A0C"/>
    <w:rsid w:val="00C36CA3"/>
    <w:rsid w:val="00C37169"/>
    <w:rsid w:val="00C422D4"/>
    <w:rsid w:val="00C43A79"/>
    <w:rsid w:val="00C44D20"/>
    <w:rsid w:val="00C45431"/>
    <w:rsid w:val="00C455EA"/>
    <w:rsid w:val="00C45F4E"/>
    <w:rsid w:val="00C45FFE"/>
    <w:rsid w:val="00C46379"/>
    <w:rsid w:val="00C4672C"/>
    <w:rsid w:val="00C46A5D"/>
    <w:rsid w:val="00C47224"/>
    <w:rsid w:val="00C5003E"/>
    <w:rsid w:val="00C50486"/>
    <w:rsid w:val="00C51A90"/>
    <w:rsid w:val="00C51D0C"/>
    <w:rsid w:val="00C52361"/>
    <w:rsid w:val="00C52C6A"/>
    <w:rsid w:val="00C5603A"/>
    <w:rsid w:val="00C56833"/>
    <w:rsid w:val="00C56E53"/>
    <w:rsid w:val="00C5749B"/>
    <w:rsid w:val="00C57A3C"/>
    <w:rsid w:val="00C57A56"/>
    <w:rsid w:val="00C609F9"/>
    <w:rsid w:val="00C60AC9"/>
    <w:rsid w:val="00C61BD1"/>
    <w:rsid w:val="00C61E78"/>
    <w:rsid w:val="00C62120"/>
    <w:rsid w:val="00C621BD"/>
    <w:rsid w:val="00C625AE"/>
    <w:rsid w:val="00C62654"/>
    <w:rsid w:val="00C628E2"/>
    <w:rsid w:val="00C63B87"/>
    <w:rsid w:val="00C6430D"/>
    <w:rsid w:val="00C646C8"/>
    <w:rsid w:val="00C665E2"/>
    <w:rsid w:val="00C66B22"/>
    <w:rsid w:val="00C66FBC"/>
    <w:rsid w:val="00C67251"/>
    <w:rsid w:val="00C6783B"/>
    <w:rsid w:val="00C6794E"/>
    <w:rsid w:val="00C67F32"/>
    <w:rsid w:val="00C67F8A"/>
    <w:rsid w:val="00C711E5"/>
    <w:rsid w:val="00C7134C"/>
    <w:rsid w:val="00C71C64"/>
    <w:rsid w:val="00C7403E"/>
    <w:rsid w:val="00C744F6"/>
    <w:rsid w:val="00C74AEF"/>
    <w:rsid w:val="00C74CF3"/>
    <w:rsid w:val="00C755A6"/>
    <w:rsid w:val="00C758F4"/>
    <w:rsid w:val="00C761C1"/>
    <w:rsid w:val="00C766A4"/>
    <w:rsid w:val="00C777CE"/>
    <w:rsid w:val="00C77F34"/>
    <w:rsid w:val="00C802BB"/>
    <w:rsid w:val="00C823A3"/>
    <w:rsid w:val="00C829AC"/>
    <w:rsid w:val="00C8344F"/>
    <w:rsid w:val="00C83458"/>
    <w:rsid w:val="00C83E56"/>
    <w:rsid w:val="00C84D33"/>
    <w:rsid w:val="00C84D89"/>
    <w:rsid w:val="00C85353"/>
    <w:rsid w:val="00C853B9"/>
    <w:rsid w:val="00C85E65"/>
    <w:rsid w:val="00C85EC0"/>
    <w:rsid w:val="00C8652A"/>
    <w:rsid w:val="00C86FFF"/>
    <w:rsid w:val="00C87836"/>
    <w:rsid w:val="00C9043B"/>
    <w:rsid w:val="00C908CF"/>
    <w:rsid w:val="00C90948"/>
    <w:rsid w:val="00C914D6"/>
    <w:rsid w:val="00C9169F"/>
    <w:rsid w:val="00C92A7A"/>
    <w:rsid w:val="00C92AF9"/>
    <w:rsid w:val="00C93806"/>
    <w:rsid w:val="00C94D44"/>
    <w:rsid w:val="00C9521B"/>
    <w:rsid w:val="00C95586"/>
    <w:rsid w:val="00C9663B"/>
    <w:rsid w:val="00C96C10"/>
    <w:rsid w:val="00C971CF"/>
    <w:rsid w:val="00C97BAD"/>
    <w:rsid w:val="00CA08D5"/>
    <w:rsid w:val="00CA134D"/>
    <w:rsid w:val="00CA2963"/>
    <w:rsid w:val="00CA347B"/>
    <w:rsid w:val="00CA40E2"/>
    <w:rsid w:val="00CA428E"/>
    <w:rsid w:val="00CA4359"/>
    <w:rsid w:val="00CA4650"/>
    <w:rsid w:val="00CA6DFB"/>
    <w:rsid w:val="00CA7261"/>
    <w:rsid w:val="00CB0946"/>
    <w:rsid w:val="00CB171D"/>
    <w:rsid w:val="00CB1E67"/>
    <w:rsid w:val="00CB2071"/>
    <w:rsid w:val="00CB2838"/>
    <w:rsid w:val="00CB3280"/>
    <w:rsid w:val="00CB3F58"/>
    <w:rsid w:val="00CB4EA2"/>
    <w:rsid w:val="00CB53B8"/>
    <w:rsid w:val="00CB5449"/>
    <w:rsid w:val="00CB57E9"/>
    <w:rsid w:val="00CB6A85"/>
    <w:rsid w:val="00CB6B45"/>
    <w:rsid w:val="00CC12D6"/>
    <w:rsid w:val="00CC1365"/>
    <w:rsid w:val="00CC1CFE"/>
    <w:rsid w:val="00CC26A4"/>
    <w:rsid w:val="00CC2E7E"/>
    <w:rsid w:val="00CC2E9A"/>
    <w:rsid w:val="00CC2FB1"/>
    <w:rsid w:val="00CC31E4"/>
    <w:rsid w:val="00CC358C"/>
    <w:rsid w:val="00CC36C9"/>
    <w:rsid w:val="00CC3F06"/>
    <w:rsid w:val="00CC4A26"/>
    <w:rsid w:val="00CC72C1"/>
    <w:rsid w:val="00CC78E4"/>
    <w:rsid w:val="00CD0637"/>
    <w:rsid w:val="00CD1D23"/>
    <w:rsid w:val="00CD20F4"/>
    <w:rsid w:val="00CD230E"/>
    <w:rsid w:val="00CD2A91"/>
    <w:rsid w:val="00CD36F5"/>
    <w:rsid w:val="00CD3C27"/>
    <w:rsid w:val="00CD4BD5"/>
    <w:rsid w:val="00CD5618"/>
    <w:rsid w:val="00CD66F3"/>
    <w:rsid w:val="00CD6C1C"/>
    <w:rsid w:val="00CD6C4E"/>
    <w:rsid w:val="00CE06A8"/>
    <w:rsid w:val="00CE1FD8"/>
    <w:rsid w:val="00CE270D"/>
    <w:rsid w:val="00CE300F"/>
    <w:rsid w:val="00CE3420"/>
    <w:rsid w:val="00CE362B"/>
    <w:rsid w:val="00CE3B78"/>
    <w:rsid w:val="00CE3E8B"/>
    <w:rsid w:val="00CE4E5F"/>
    <w:rsid w:val="00CE50AF"/>
    <w:rsid w:val="00CE5127"/>
    <w:rsid w:val="00CE5FA1"/>
    <w:rsid w:val="00CE6D8D"/>
    <w:rsid w:val="00CE74FB"/>
    <w:rsid w:val="00CE7E52"/>
    <w:rsid w:val="00CE7E70"/>
    <w:rsid w:val="00CF0BD7"/>
    <w:rsid w:val="00CF17FB"/>
    <w:rsid w:val="00CF19A3"/>
    <w:rsid w:val="00CF19BC"/>
    <w:rsid w:val="00CF2230"/>
    <w:rsid w:val="00CF2A15"/>
    <w:rsid w:val="00CF30EF"/>
    <w:rsid w:val="00CF3165"/>
    <w:rsid w:val="00CF329C"/>
    <w:rsid w:val="00CF3596"/>
    <w:rsid w:val="00CF3819"/>
    <w:rsid w:val="00CF4CB6"/>
    <w:rsid w:val="00CF5637"/>
    <w:rsid w:val="00CF5807"/>
    <w:rsid w:val="00D001A6"/>
    <w:rsid w:val="00D00213"/>
    <w:rsid w:val="00D0056E"/>
    <w:rsid w:val="00D009E7"/>
    <w:rsid w:val="00D00FAA"/>
    <w:rsid w:val="00D01D53"/>
    <w:rsid w:val="00D02999"/>
    <w:rsid w:val="00D0369A"/>
    <w:rsid w:val="00D03C3F"/>
    <w:rsid w:val="00D04858"/>
    <w:rsid w:val="00D05340"/>
    <w:rsid w:val="00D055A4"/>
    <w:rsid w:val="00D07EA8"/>
    <w:rsid w:val="00D114F8"/>
    <w:rsid w:val="00D12225"/>
    <w:rsid w:val="00D12690"/>
    <w:rsid w:val="00D1367A"/>
    <w:rsid w:val="00D13815"/>
    <w:rsid w:val="00D14231"/>
    <w:rsid w:val="00D144C6"/>
    <w:rsid w:val="00D14528"/>
    <w:rsid w:val="00D149B8"/>
    <w:rsid w:val="00D15DDB"/>
    <w:rsid w:val="00D1620D"/>
    <w:rsid w:val="00D164D4"/>
    <w:rsid w:val="00D1690C"/>
    <w:rsid w:val="00D20034"/>
    <w:rsid w:val="00D210A7"/>
    <w:rsid w:val="00D21391"/>
    <w:rsid w:val="00D2216F"/>
    <w:rsid w:val="00D22432"/>
    <w:rsid w:val="00D22437"/>
    <w:rsid w:val="00D22E26"/>
    <w:rsid w:val="00D243DD"/>
    <w:rsid w:val="00D24861"/>
    <w:rsid w:val="00D250B8"/>
    <w:rsid w:val="00D2529E"/>
    <w:rsid w:val="00D2674E"/>
    <w:rsid w:val="00D26A98"/>
    <w:rsid w:val="00D26D93"/>
    <w:rsid w:val="00D2704B"/>
    <w:rsid w:val="00D2794C"/>
    <w:rsid w:val="00D3208D"/>
    <w:rsid w:val="00D323CC"/>
    <w:rsid w:val="00D32DDA"/>
    <w:rsid w:val="00D333FA"/>
    <w:rsid w:val="00D3341D"/>
    <w:rsid w:val="00D3420A"/>
    <w:rsid w:val="00D351B4"/>
    <w:rsid w:val="00D35B3D"/>
    <w:rsid w:val="00D3699F"/>
    <w:rsid w:val="00D3759B"/>
    <w:rsid w:val="00D37A02"/>
    <w:rsid w:val="00D37BA0"/>
    <w:rsid w:val="00D406C7"/>
    <w:rsid w:val="00D40C7B"/>
    <w:rsid w:val="00D40FCB"/>
    <w:rsid w:val="00D415F0"/>
    <w:rsid w:val="00D419BD"/>
    <w:rsid w:val="00D41D4F"/>
    <w:rsid w:val="00D42719"/>
    <w:rsid w:val="00D431BD"/>
    <w:rsid w:val="00D43454"/>
    <w:rsid w:val="00D43D99"/>
    <w:rsid w:val="00D45239"/>
    <w:rsid w:val="00D45657"/>
    <w:rsid w:val="00D479FB"/>
    <w:rsid w:val="00D50F15"/>
    <w:rsid w:val="00D512B5"/>
    <w:rsid w:val="00D518E3"/>
    <w:rsid w:val="00D5193D"/>
    <w:rsid w:val="00D51CA2"/>
    <w:rsid w:val="00D51DDA"/>
    <w:rsid w:val="00D52DBF"/>
    <w:rsid w:val="00D52E46"/>
    <w:rsid w:val="00D53889"/>
    <w:rsid w:val="00D57725"/>
    <w:rsid w:val="00D57735"/>
    <w:rsid w:val="00D57E03"/>
    <w:rsid w:val="00D6002E"/>
    <w:rsid w:val="00D60479"/>
    <w:rsid w:val="00D620BA"/>
    <w:rsid w:val="00D621BB"/>
    <w:rsid w:val="00D6224C"/>
    <w:rsid w:val="00D622E2"/>
    <w:rsid w:val="00D62530"/>
    <w:rsid w:val="00D62C55"/>
    <w:rsid w:val="00D6314E"/>
    <w:rsid w:val="00D64240"/>
    <w:rsid w:val="00D65CEF"/>
    <w:rsid w:val="00D66097"/>
    <w:rsid w:val="00D66C6F"/>
    <w:rsid w:val="00D709B7"/>
    <w:rsid w:val="00D7270F"/>
    <w:rsid w:val="00D74D67"/>
    <w:rsid w:val="00D751F8"/>
    <w:rsid w:val="00D754A8"/>
    <w:rsid w:val="00D75548"/>
    <w:rsid w:val="00D75552"/>
    <w:rsid w:val="00D76797"/>
    <w:rsid w:val="00D77B97"/>
    <w:rsid w:val="00D77DD5"/>
    <w:rsid w:val="00D807C7"/>
    <w:rsid w:val="00D8091E"/>
    <w:rsid w:val="00D80F7E"/>
    <w:rsid w:val="00D81C65"/>
    <w:rsid w:val="00D82A70"/>
    <w:rsid w:val="00D8349A"/>
    <w:rsid w:val="00D834AB"/>
    <w:rsid w:val="00D84406"/>
    <w:rsid w:val="00D845C7"/>
    <w:rsid w:val="00D84936"/>
    <w:rsid w:val="00D849E0"/>
    <w:rsid w:val="00D85CD6"/>
    <w:rsid w:val="00D87D79"/>
    <w:rsid w:val="00D907C1"/>
    <w:rsid w:val="00D90843"/>
    <w:rsid w:val="00D90AEF"/>
    <w:rsid w:val="00D90F55"/>
    <w:rsid w:val="00D9127C"/>
    <w:rsid w:val="00D9149E"/>
    <w:rsid w:val="00D91F05"/>
    <w:rsid w:val="00D92533"/>
    <w:rsid w:val="00D92CB5"/>
    <w:rsid w:val="00D936CC"/>
    <w:rsid w:val="00D94AC4"/>
    <w:rsid w:val="00D94F14"/>
    <w:rsid w:val="00D95234"/>
    <w:rsid w:val="00D95E02"/>
    <w:rsid w:val="00D97625"/>
    <w:rsid w:val="00D97939"/>
    <w:rsid w:val="00D97F49"/>
    <w:rsid w:val="00DA1D30"/>
    <w:rsid w:val="00DA2110"/>
    <w:rsid w:val="00DA3470"/>
    <w:rsid w:val="00DA40CF"/>
    <w:rsid w:val="00DA4ECF"/>
    <w:rsid w:val="00DA529C"/>
    <w:rsid w:val="00DA585A"/>
    <w:rsid w:val="00DA5A7B"/>
    <w:rsid w:val="00DA5D84"/>
    <w:rsid w:val="00DA7007"/>
    <w:rsid w:val="00DA703C"/>
    <w:rsid w:val="00DA75CE"/>
    <w:rsid w:val="00DA7A01"/>
    <w:rsid w:val="00DA7B15"/>
    <w:rsid w:val="00DB01EC"/>
    <w:rsid w:val="00DB0247"/>
    <w:rsid w:val="00DB0561"/>
    <w:rsid w:val="00DB0C45"/>
    <w:rsid w:val="00DB204E"/>
    <w:rsid w:val="00DB23CB"/>
    <w:rsid w:val="00DB2DF6"/>
    <w:rsid w:val="00DB2F50"/>
    <w:rsid w:val="00DB5E43"/>
    <w:rsid w:val="00DB6C32"/>
    <w:rsid w:val="00DB7108"/>
    <w:rsid w:val="00DB76D3"/>
    <w:rsid w:val="00DB7CE9"/>
    <w:rsid w:val="00DC0DB6"/>
    <w:rsid w:val="00DC0E3F"/>
    <w:rsid w:val="00DC14C3"/>
    <w:rsid w:val="00DC278D"/>
    <w:rsid w:val="00DC2B70"/>
    <w:rsid w:val="00DC3625"/>
    <w:rsid w:val="00DC3FA0"/>
    <w:rsid w:val="00DC44B8"/>
    <w:rsid w:val="00DC50B6"/>
    <w:rsid w:val="00DC5180"/>
    <w:rsid w:val="00DC556F"/>
    <w:rsid w:val="00DC5931"/>
    <w:rsid w:val="00DC6087"/>
    <w:rsid w:val="00DC6A2D"/>
    <w:rsid w:val="00DD050E"/>
    <w:rsid w:val="00DD0B23"/>
    <w:rsid w:val="00DD1FE2"/>
    <w:rsid w:val="00DD32C5"/>
    <w:rsid w:val="00DD3364"/>
    <w:rsid w:val="00DD33B3"/>
    <w:rsid w:val="00DD34BB"/>
    <w:rsid w:val="00DD38AE"/>
    <w:rsid w:val="00DD610B"/>
    <w:rsid w:val="00DD65EA"/>
    <w:rsid w:val="00DD6AE9"/>
    <w:rsid w:val="00DD7023"/>
    <w:rsid w:val="00DD70EB"/>
    <w:rsid w:val="00DD7760"/>
    <w:rsid w:val="00DD7F56"/>
    <w:rsid w:val="00DE00E1"/>
    <w:rsid w:val="00DE073D"/>
    <w:rsid w:val="00DE0B4D"/>
    <w:rsid w:val="00DE1771"/>
    <w:rsid w:val="00DE1D00"/>
    <w:rsid w:val="00DE1D7C"/>
    <w:rsid w:val="00DE2F64"/>
    <w:rsid w:val="00DE3375"/>
    <w:rsid w:val="00DE47DD"/>
    <w:rsid w:val="00DE5756"/>
    <w:rsid w:val="00DE5C6E"/>
    <w:rsid w:val="00DE6416"/>
    <w:rsid w:val="00DE71B6"/>
    <w:rsid w:val="00DF0BF1"/>
    <w:rsid w:val="00DF0FDA"/>
    <w:rsid w:val="00DF160D"/>
    <w:rsid w:val="00DF20C1"/>
    <w:rsid w:val="00DF272D"/>
    <w:rsid w:val="00DF2900"/>
    <w:rsid w:val="00DF2C61"/>
    <w:rsid w:val="00DF39DE"/>
    <w:rsid w:val="00DF40C6"/>
    <w:rsid w:val="00DF46AC"/>
    <w:rsid w:val="00DF46FA"/>
    <w:rsid w:val="00DF6202"/>
    <w:rsid w:val="00DF64DF"/>
    <w:rsid w:val="00DF6717"/>
    <w:rsid w:val="00E00A95"/>
    <w:rsid w:val="00E01186"/>
    <w:rsid w:val="00E011BD"/>
    <w:rsid w:val="00E02157"/>
    <w:rsid w:val="00E02B4D"/>
    <w:rsid w:val="00E02DAD"/>
    <w:rsid w:val="00E02DAF"/>
    <w:rsid w:val="00E02EE5"/>
    <w:rsid w:val="00E033EA"/>
    <w:rsid w:val="00E04E38"/>
    <w:rsid w:val="00E0668C"/>
    <w:rsid w:val="00E06BFA"/>
    <w:rsid w:val="00E06F3E"/>
    <w:rsid w:val="00E07822"/>
    <w:rsid w:val="00E07880"/>
    <w:rsid w:val="00E10703"/>
    <w:rsid w:val="00E1097A"/>
    <w:rsid w:val="00E111C0"/>
    <w:rsid w:val="00E12549"/>
    <w:rsid w:val="00E13977"/>
    <w:rsid w:val="00E145B9"/>
    <w:rsid w:val="00E14F2F"/>
    <w:rsid w:val="00E166DD"/>
    <w:rsid w:val="00E175AA"/>
    <w:rsid w:val="00E2087E"/>
    <w:rsid w:val="00E20D1E"/>
    <w:rsid w:val="00E20DAE"/>
    <w:rsid w:val="00E214A3"/>
    <w:rsid w:val="00E21827"/>
    <w:rsid w:val="00E228AE"/>
    <w:rsid w:val="00E24D6E"/>
    <w:rsid w:val="00E2544D"/>
    <w:rsid w:val="00E27462"/>
    <w:rsid w:val="00E30BA1"/>
    <w:rsid w:val="00E31618"/>
    <w:rsid w:val="00E319A8"/>
    <w:rsid w:val="00E31C62"/>
    <w:rsid w:val="00E31CCC"/>
    <w:rsid w:val="00E32B32"/>
    <w:rsid w:val="00E3357E"/>
    <w:rsid w:val="00E337FF"/>
    <w:rsid w:val="00E33B8C"/>
    <w:rsid w:val="00E3448D"/>
    <w:rsid w:val="00E34D97"/>
    <w:rsid w:val="00E35269"/>
    <w:rsid w:val="00E35657"/>
    <w:rsid w:val="00E35FB3"/>
    <w:rsid w:val="00E362B4"/>
    <w:rsid w:val="00E3638E"/>
    <w:rsid w:val="00E364DC"/>
    <w:rsid w:val="00E4016E"/>
    <w:rsid w:val="00E41554"/>
    <w:rsid w:val="00E41AF3"/>
    <w:rsid w:val="00E41BE1"/>
    <w:rsid w:val="00E429C7"/>
    <w:rsid w:val="00E42A18"/>
    <w:rsid w:val="00E44722"/>
    <w:rsid w:val="00E44D50"/>
    <w:rsid w:val="00E44FBF"/>
    <w:rsid w:val="00E45C07"/>
    <w:rsid w:val="00E461EC"/>
    <w:rsid w:val="00E464E5"/>
    <w:rsid w:val="00E509F8"/>
    <w:rsid w:val="00E51FE8"/>
    <w:rsid w:val="00E52936"/>
    <w:rsid w:val="00E53AC2"/>
    <w:rsid w:val="00E53C9C"/>
    <w:rsid w:val="00E53E42"/>
    <w:rsid w:val="00E54351"/>
    <w:rsid w:val="00E5443F"/>
    <w:rsid w:val="00E549A0"/>
    <w:rsid w:val="00E54C36"/>
    <w:rsid w:val="00E557E2"/>
    <w:rsid w:val="00E55D8A"/>
    <w:rsid w:val="00E5616F"/>
    <w:rsid w:val="00E56DB5"/>
    <w:rsid w:val="00E573A0"/>
    <w:rsid w:val="00E60DEC"/>
    <w:rsid w:val="00E60F17"/>
    <w:rsid w:val="00E62AF0"/>
    <w:rsid w:val="00E6313A"/>
    <w:rsid w:val="00E6349B"/>
    <w:rsid w:val="00E643B7"/>
    <w:rsid w:val="00E65216"/>
    <w:rsid w:val="00E664B1"/>
    <w:rsid w:val="00E66824"/>
    <w:rsid w:val="00E70FFA"/>
    <w:rsid w:val="00E716B6"/>
    <w:rsid w:val="00E72568"/>
    <w:rsid w:val="00E727F4"/>
    <w:rsid w:val="00E72E20"/>
    <w:rsid w:val="00E733D3"/>
    <w:rsid w:val="00E734F8"/>
    <w:rsid w:val="00E7357E"/>
    <w:rsid w:val="00E73716"/>
    <w:rsid w:val="00E73A82"/>
    <w:rsid w:val="00E73F5D"/>
    <w:rsid w:val="00E76594"/>
    <w:rsid w:val="00E765C9"/>
    <w:rsid w:val="00E76E27"/>
    <w:rsid w:val="00E7712B"/>
    <w:rsid w:val="00E772B8"/>
    <w:rsid w:val="00E77745"/>
    <w:rsid w:val="00E81527"/>
    <w:rsid w:val="00E82F3C"/>
    <w:rsid w:val="00E83611"/>
    <w:rsid w:val="00E85889"/>
    <w:rsid w:val="00E85F30"/>
    <w:rsid w:val="00E872A3"/>
    <w:rsid w:val="00E8767B"/>
    <w:rsid w:val="00E87EA7"/>
    <w:rsid w:val="00E90AB3"/>
    <w:rsid w:val="00E90AFC"/>
    <w:rsid w:val="00E90B68"/>
    <w:rsid w:val="00E90E17"/>
    <w:rsid w:val="00E90EBC"/>
    <w:rsid w:val="00E91441"/>
    <w:rsid w:val="00E92AF2"/>
    <w:rsid w:val="00E92D83"/>
    <w:rsid w:val="00E92FE9"/>
    <w:rsid w:val="00E94F37"/>
    <w:rsid w:val="00E95206"/>
    <w:rsid w:val="00E954F6"/>
    <w:rsid w:val="00E967CB"/>
    <w:rsid w:val="00E968FE"/>
    <w:rsid w:val="00E96910"/>
    <w:rsid w:val="00E96C56"/>
    <w:rsid w:val="00E96CC5"/>
    <w:rsid w:val="00EA01B7"/>
    <w:rsid w:val="00EA0718"/>
    <w:rsid w:val="00EA0956"/>
    <w:rsid w:val="00EA176A"/>
    <w:rsid w:val="00EA17CA"/>
    <w:rsid w:val="00EA1DAB"/>
    <w:rsid w:val="00EA2A2D"/>
    <w:rsid w:val="00EA2CFA"/>
    <w:rsid w:val="00EA33CB"/>
    <w:rsid w:val="00EA438F"/>
    <w:rsid w:val="00EA49E0"/>
    <w:rsid w:val="00EA5ADF"/>
    <w:rsid w:val="00EA66C5"/>
    <w:rsid w:val="00EB018E"/>
    <w:rsid w:val="00EB1D55"/>
    <w:rsid w:val="00EB224C"/>
    <w:rsid w:val="00EB2720"/>
    <w:rsid w:val="00EB3070"/>
    <w:rsid w:val="00EB3D9C"/>
    <w:rsid w:val="00EB4A86"/>
    <w:rsid w:val="00EB4B4C"/>
    <w:rsid w:val="00EB5C37"/>
    <w:rsid w:val="00EB6607"/>
    <w:rsid w:val="00EB73E3"/>
    <w:rsid w:val="00EB750D"/>
    <w:rsid w:val="00EB7F7D"/>
    <w:rsid w:val="00EC0079"/>
    <w:rsid w:val="00EC0AE4"/>
    <w:rsid w:val="00EC136B"/>
    <w:rsid w:val="00EC1510"/>
    <w:rsid w:val="00EC1DBE"/>
    <w:rsid w:val="00EC28F9"/>
    <w:rsid w:val="00EC2ADE"/>
    <w:rsid w:val="00EC323C"/>
    <w:rsid w:val="00EC3E7D"/>
    <w:rsid w:val="00EC3F2A"/>
    <w:rsid w:val="00EC4219"/>
    <w:rsid w:val="00EC4485"/>
    <w:rsid w:val="00EC56D8"/>
    <w:rsid w:val="00EC6002"/>
    <w:rsid w:val="00EC61AF"/>
    <w:rsid w:val="00EC6747"/>
    <w:rsid w:val="00EC736E"/>
    <w:rsid w:val="00ED0128"/>
    <w:rsid w:val="00ED01F5"/>
    <w:rsid w:val="00ED0ACF"/>
    <w:rsid w:val="00ED18AF"/>
    <w:rsid w:val="00ED1DFF"/>
    <w:rsid w:val="00ED29E0"/>
    <w:rsid w:val="00ED2DC2"/>
    <w:rsid w:val="00ED414A"/>
    <w:rsid w:val="00ED4985"/>
    <w:rsid w:val="00ED5D70"/>
    <w:rsid w:val="00ED60E7"/>
    <w:rsid w:val="00ED7FC4"/>
    <w:rsid w:val="00EE0009"/>
    <w:rsid w:val="00EE046C"/>
    <w:rsid w:val="00EE076D"/>
    <w:rsid w:val="00EE2107"/>
    <w:rsid w:val="00EE2FAB"/>
    <w:rsid w:val="00EE3253"/>
    <w:rsid w:val="00EE4179"/>
    <w:rsid w:val="00EE4308"/>
    <w:rsid w:val="00EE45C2"/>
    <w:rsid w:val="00EE5820"/>
    <w:rsid w:val="00EE6CB6"/>
    <w:rsid w:val="00EE6D67"/>
    <w:rsid w:val="00EE759B"/>
    <w:rsid w:val="00EE7660"/>
    <w:rsid w:val="00EE795F"/>
    <w:rsid w:val="00EF1E99"/>
    <w:rsid w:val="00EF21B5"/>
    <w:rsid w:val="00EF2C1F"/>
    <w:rsid w:val="00EF45D1"/>
    <w:rsid w:val="00EF4DBE"/>
    <w:rsid w:val="00EF5EFF"/>
    <w:rsid w:val="00EF60CC"/>
    <w:rsid w:val="00EF6CB0"/>
    <w:rsid w:val="00EF7949"/>
    <w:rsid w:val="00EF7C4D"/>
    <w:rsid w:val="00F00686"/>
    <w:rsid w:val="00F006B5"/>
    <w:rsid w:val="00F00927"/>
    <w:rsid w:val="00F00E9B"/>
    <w:rsid w:val="00F016D1"/>
    <w:rsid w:val="00F02B45"/>
    <w:rsid w:val="00F02DFB"/>
    <w:rsid w:val="00F033CC"/>
    <w:rsid w:val="00F03916"/>
    <w:rsid w:val="00F03A94"/>
    <w:rsid w:val="00F03E83"/>
    <w:rsid w:val="00F04444"/>
    <w:rsid w:val="00F04B2D"/>
    <w:rsid w:val="00F05374"/>
    <w:rsid w:val="00F055E3"/>
    <w:rsid w:val="00F062A7"/>
    <w:rsid w:val="00F06E5E"/>
    <w:rsid w:val="00F0751D"/>
    <w:rsid w:val="00F07CA3"/>
    <w:rsid w:val="00F11123"/>
    <w:rsid w:val="00F1141F"/>
    <w:rsid w:val="00F11F4C"/>
    <w:rsid w:val="00F12034"/>
    <w:rsid w:val="00F12D76"/>
    <w:rsid w:val="00F13034"/>
    <w:rsid w:val="00F13BC0"/>
    <w:rsid w:val="00F140A8"/>
    <w:rsid w:val="00F14E09"/>
    <w:rsid w:val="00F1780A"/>
    <w:rsid w:val="00F1786F"/>
    <w:rsid w:val="00F208D8"/>
    <w:rsid w:val="00F20BCF"/>
    <w:rsid w:val="00F2146C"/>
    <w:rsid w:val="00F21CAB"/>
    <w:rsid w:val="00F225B1"/>
    <w:rsid w:val="00F22B0E"/>
    <w:rsid w:val="00F22DEF"/>
    <w:rsid w:val="00F27797"/>
    <w:rsid w:val="00F27C19"/>
    <w:rsid w:val="00F30715"/>
    <w:rsid w:val="00F313FB"/>
    <w:rsid w:val="00F319A3"/>
    <w:rsid w:val="00F32110"/>
    <w:rsid w:val="00F3227F"/>
    <w:rsid w:val="00F322C2"/>
    <w:rsid w:val="00F33934"/>
    <w:rsid w:val="00F33BBD"/>
    <w:rsid w:val="00F344F2"/>
    <w:rsid w:val="00F345C6"/>
    <w:rsid w:val="00F34B3B"/>
    <w:rsid w:val="00F35EC5"/>
    <w:rsid w:val="00F3601A"/>
    <w:rsid w:val="00F36BB8"/>
    <w:rsid w:val="00F37707"/>
    <w:rsid w:val="00F377E7"/>
    <w:rsid w:val="00F37944"/>
    <w:rsid w:val="00F37FAF"/>
    <w:rsid w:val="00F4000B"/>
    <w:rsid w:val="00F4006E"/>
    <w:rsid w:val="00F40717"/>
    <w:rsid w:val="00F4112C"/>
    <w:rsid w:val="00F4191D"/>
    <w:rsid w:val="00F41931"/>
    <w:rsid w:val="00F41AE3"/>
    <w:rsid w:val="00F42159"/>
    <w:rsid w:val="00F42C7B"/>
    <w:rsid w:val="00F44972"/>
    <w:rsid w:val="00F4498C"/>
    <w:rsid w:val="00F44C09"/>
    <w:rsid w:val="00F44D73"/>
    <w:rsid w:val="00F45B6C"/>
    <w:rsid w:val="00F464B0"/>
    <w:rsid w:val="00F47588"/>
    <w:rsid w:val="00F47A0B"/>
    <w:rsid w:val="00F50C5C"/>
    <w:rsid w:val="00F5122F"/>
    <w:rsid w:val="00F515E6"/>
    <w:rsid w:val="00F51864"/>
    <w:rsid w:val="00F5224C"/>
    <w:rsid w:val="00F529E2"/>
    <w:rsid w:val="00F52D0F"/>
    <w:rsid w:val="00F541BA"/>
    <w:rsid w:val="00F54D5F"/>
    <w:rsid w:val="00F552DE"/>
    <w:rsid w:val="00F55A82"/>
    <w:rsid w:val="00F56263"/>
    <w:rsid w:val="00F56E85"/>
    <w:rsid w:val="00F56FF3"/>
    <w:rsid w:val="00F60E8E"/>
    <w:rsid w:val="00F61557"/>
    <w:rsid w:val="00F62A38"/>
    <w:rsid w:val="00F62C32"/>
    <w:rsid w:val="00F63240"/>
    <w:rsid w:val="00F63972"/>
    <w:rsid w:val="00F640E5"/>
    <w:rsid w:val="00F6481F"/>
    <w:rsid w:val="00F66051"/>
    <w:rsid w:val="00F6689B"/>
    <w:rsid w:val="00F66E24"/>
    <w:rsid w:val="00F675D4"/>
    <w:rsid w:val="00F7024E"/>
    <w:rsid w:val="00F70351"/>
    <w:rsid w:val="00F70BAE"/>
    <w:rsid w:val="00F714A3"/>
    <w:rsid w:val="00F71FC8"/>
    <w:rsid w:val="00F72902"/>
    <w:rsid w:val="00F72981"/>
    <w:rsid w:val="00F7312E"/>
    <w:rsid w:val="00F74187"/>
    <w:rsid w:val="00F751CB"/>
    <w:rsid w:val="00F75883"/>
    <w:rsid w:val="00F80B98"/>
    <w:rsid w:val="00F80DE3"/>
    <w:rsid w:val="00F815A3"/>
    <w:rsid w:val="00F81AC7"/>
    <w:rsid w:val="00F820C3"/>
    <w:rsid w:val="00F83657"/>
    <w:rsid w:val="00F8461D"/>
    <w:rsid w:val="00F8462C"/>
    <w:rsid w:val="00F84747"/>
    <w:rsid w:val="00F847DE"/>
    <w:rsid w:val="00F8489A"/>
    <w:rsid w:val="00F84D51"/>
    <w:rsid w:val="00F85076"/>
    <w:rsid w:val="00F850FB"/>
    <w:rsid w:val="00F85AA7"/>
    <w:rsid w:val="00F86AB5"/>
    <w:rsid w:val="00F87CB8"/>
    <w:rsid w:val="00F87D47"/>
    <w:rsid w:val="00F90261"/>
    <w:rsid w:val="00F90AD4"/>
    <w:rsid w:val="00F90D6A"/>
    <w:rsid w:val="00F91B2A"/>
    <w:rsid w:val="00F91D60"/>
    <w:rsid w:val="00F92943"/>
    <w:rsid w:val="00F92A73"/>
    <w:rsid w:val="00F9312B"/>
    <w:rsid w:val="00F93255"/>
    <w:rsid w:val="00F93367"/>
    <w:rsid w:val="00F944EE"/>
    <w:rsid w:val="00F94B35"/>
    <w:rsid w:val="00F94ED5"/>
    <w:rsid w:val="00F95B07"/>
    <w:rsid w:val="00F95ED1"/>
    <w:rsid w:val="00F96BDD"/>
    <w:rsid w:val="00F97180"/>
    <w:rsid w:val="00F97402"/>
    <w:rsid w:val="00FA0787"/>
    <w:rsid w:val="00FA15D3"/>
    <w:rsid w:val="00FA2620"/>
    <w:rsid w:val="00FA46BB"/>
    <w:rsid w:val="00FA5152"/>
    <w:rsid w:val="00FA6FCA"/>
    <w:rsid w:val="00FA7161"/>
    <w:rsid w:val="00FA7EDC"/>
    <w:rsid w:val="00FB02D9"/>
    <w:rsid w:val="00FB09B5"/>
    <w:rsid w:val="00FB0D00"/>
    <w:rsid w:val="00FB12F1"/>
    <w:rsid w:val="00FB1CC1"/>
    <w:rsid w:val="00FB2922"/>
    <w:rsid w:val="00FB2EF3"/>
    <w:rsid w:val="00FB3CFC"/>
    <w:rsid w:val="00FB4163"/>
    <w:rsid w:val="00FB4615"/>
    <w:rsid w:val="00FB54CE"/>
    <w:rsid w:val="00FB5CD1"/>
    <w:rsid w:val="00FB741A"/>
    <w:rsid w:val="00FB78E5"/>
    <w:rsid w:val="00FB7964"/>
    <w:rsid w:val="00FC0BB9"/>
    <w:rsid w:val="00FC187E"/>
    <w:rsid w:val="00FC1A09"/>
    <w:rsid w:val="00FC3018"/>
    <w:rsid w:val="00FC3E6D"/>
    <w:rsid w:val="00FC46C0"/>
    <w:rsid w:val="00FC5989"/>
    <w:rsid w:val="00FC5DDC"/>
    <w:rsid w:val="00FC6CF3"/>
    <w:rsid w:val="00FC7024"/>
    <w:rsid w:val="00FC7998"/>
    <w:rsid w:val="00FC7A49"/>
    <w:rsid w:val="00FC7B97"/>
    <w:rsid w:val="00FC7C9C"/>
    <w:rsid w:val="00FD0202"/>
    <w:rsid w:val="00FD0487"/>
    <w:rsid w:val="00FD19D6"/>
    <w:rsid w:val="00FD1D35"/>
    <w:rsid w:val="00FD234D"/>
    <w:rsid w:val="00FD2658"/>
    <w:rsid w:val="00FD3527"/>
    <w:rsid w:val="00FD3571"/>
    <w:rsid w:val="00FD38F0"/>
    <w:rsid w:val="00FD508D"/>
    <w:rsid w:val="00FD5E90"/>
    <w:rsid w:val="00FD7C6A"/>
    <w:rsid w:val="00FE023B"/>
    <w:rsid w:val="00FE04E5"/>
    <w:rsid w:val="00FE0FC2"/>
    <w:rsid w:val="00FE1359"/>
    <w:rsid w:val="00FE15F3"/>
    <w:rsid w:val="00FE16E3"/>
    <w:rsid w:val="00FE1DF1"/>
    <w:rsid w:val="00FE1F5C"/>
    <w:rsid w:val="00FE2A9F"/>
    <w:rsid w:val="00FE2D1E"/>
    <w:rsid w:val="00FE2D98"/>
    <w:rsid w:val="00FE3039"/>
    <w:rsid w:val="00FE3315"/>
    <w:rsid w:val="00FE33A2"/>
    <w:rsid w:val="00FE3AF2"/>
    <w:rsid w:val="00FE3E52"/>
    <w:rsid w:val="00FE4098"/>
    <w:rsid w:val="00FE4327"/>
    <w:rsid w:val="00FE438C"/>
    <w:rsid w:val="00FE61C1"/>
    <w:rsid w:val="00FE6B2C"/>
    <w:rsid w:val="00FE6F16"/>
    <w:rsid w:val="00FE7048"/>
    <w:rsid w:val="00FE78F2"/>
    <w:rsid w:val="00FE7955"/>
    <w:rsid w:val="00FF00AA"/>
    <w:rsid w:val="00FF12BF"/>
    <w:rsid w:val="00FF12F0"/>
    <w:rsid w:val="00FF1A70"/>
    <w:rsid w:val="00FF1CBC"/>
    <w:rsid w:val="00FF1F06"/>
    <w:rsid w:val="00FF29A1"/>
    <w:rsid w:val="00FF2AF6"/>
    <w:rsid w:val="00FF2CC9"/>
    <w:rsid w:val="00FF2D65"/>
    <w:rsid w:val="00FF2E57"/>
    <w:rsid w:val="00FF3402"/>
    <w:rsid w:val="00FF3540"/>
    <w:rsid w:val="00FF3718"/>
    <w:rsid w:val="00FF39FF"/>
    <w:rsid w:val="00FF461E"/>
    <w:rsid w:val="00FF57C9"/>
    <w:rsid w:val="00FF62CA"/>
    <w:rsid w:val="00FF6628"/>
    <w:rsid w:val="00FF6F06"/>
    <w:rsid w:val="00FF789A"/>
    <w:rsid w:val="01616A4F"/>
    <w:rsid w:val="0177C74E"/>
    <w:rsid w:val="027FB771"/>
    <w:rsid w:val="05618FE9"/>
    <w:rsid w:val="05BC5FF2"/>
    <w:rsid w:val="05E9853A"/>
    <w:rsid w:val="05ECA0FA"/>
    <w:rsid w:val="080FB2C6"/>
    <w:rsid w:val="08FA23E0"/>
    <w:rsid w:val="098F7AD2"/>
    <w:rsid w:val="09C77014"/>
    <w:rsid w:val="09EE56B1"/>
    <w:rsid w:val="09FAC68B"/>
    <w:rsid w:val="0B90490A"/>
    <w:rsid w:val="0BF92316"/>
    <w:rsid w:val="0D0D192D"/>
    <w:rsid w:val="0E06A2CA"/>
    <w:rsid w:val="0FC28DC6"/>
    <w:rsid w:val="10EE0434"/>
    <w:rsid w:val="112698D0"/>
    <w:rsid w:val="121D25C4"/>
    <w:rsid w:val="15737160"/>
    <w:rsid w:val="17103416"/>
    <w:rsid w:val="172C3574"/>
    <w:rsid w:val="178AF19A"/>
    <w:rsid w:val="182B316E"/>
    <w:rsid w:val="1B07F3EF"/>
    <w:rsid w:val="1C7DFB47"/>
    <w:rsid w:val="1CC82957"/>
    <w:rsid w:val="1DC52FFA"/>
    <w:rsid w:val="1E551F09"/>
    <w:rsid w:val="1F39F904"/>
    <w:rsid w:val="202A40EB"/>
    <w:rsid w:val="214B0CA9"/>
    <w:rsid w:val="226CCBD6"/>
    <w:rsid w:val="2292E586"/>
    <w:rsid w:val="23529CC5"/>
    <w:rsid w:val="23FFA468"/>
    <w:rsid w:val="2433C64A"/>
    <w:rsid w:val="2602826B"/>
    <w:rsid w:val="26F820C6"/>
    <w:rsid w:val="2886F0CA"/>
    <w:rsid w:val="2887DD83"/>
    <w:rsid w:val="28AE6AB0"/>
    <w:rsid w:val="29A9AC57"/>
    <w:rsid w:val="2A90BFFB"/>
    <w:rsid w:val="2B9CE4F9"/>
    <w:rsid w:val="2DC57828"/>
    <w:rsid w:val="2DF770A4"/>
    <w:rsid w:val="2F0C2974"/>
    <w:rsid w:val="2FB8AB1D"/>
    <w:rsid w:val="30D128DA"/>
    <w:rsid w:val="35447A8E"/>
    <w:rsid w:val="35621742"/>
    <w:rsid w:val="3588145E"/>
    <w:rsid w:val="35D04B2B"/>
    <w:rsid w:val="384BA509"/>
    <w:rsid w:val="3872DEB3"/>
    <w:rsid w:val="38EEA514"/>
    <w:rsid w:val="398EC492"/>
    <w:rsid w:val="39FFBE01"/>
    <w:rsid w:val="3B081991"/>
    <w:rsid w:val="3C947B20"/>
    <w:rsid w:val="3C94FC5C"/>
    <w:rsid w:val="3CB76AC5"/>
    <w:rsid w:val="3D50B728"/>
    <w:rsid w:val="41D9E6EF"/>
    <w:rsid w:val="42AFD83F"/>
    <w:rsid w:val="430D358D"/>
    <w:rsid w:val="45C3F1FF"/>
    <w:rsid w:val="45D3303D"/>
    <w:rsid w:val="45D924BC"/>
    <w:rsid w:val="45EBE126"/>
    <w:rsid w:val="4693ABCA"/>
    <w:rsid w:val="4695C933"/>
    <w:rsid w:val="47C4F5D4"/>
    <w:rsid w:val="48833E2E"/>
    <w:rsid w:val="4897884F"/>
    <w:rsid w:val="4984A9DB"/>
    <w:rsid w:val="49869C82"/>
    <w:rsid w:val="49E0A9AF"/>
    <w:rsid w:val="4ACA037E"/>
    <w:rsid w:val="4B12D455"/>
    <w:rsid w:val="4B1340FB"/>
    <w:rsid w:val="4B28CDA8"/>
    <w:rsid w:val="4B659A6D"/>
    <w:rsid w:val="4CC01DFF"/>
    <w:rsid w:val="4D2A200A"/>
    <w:rsid w:val="4D3B9FB4"/>
    <w:rsid w:val="4E5BD67C"/>
    <w:rsid w:val="502167E9"/>
    <w:rsid w:val="502A0D77"/>
    <w:rsid w:val="5115E2E4"/>
    <w:rsid w:val="51CE5961"/>
    <w:rsid w:val="53F0934A"/>
    <w:rsid w:val="5601FB81"/>
    <w:rsid w:val="58A3A49C"/>
    <w:rsid w:val="5A483347"/>
    <w:rsid w:val="5AF1C20F"/>
    <w:rsid w:val="5B52E2F9"/>
    <w:rsid w:val="5BA0CDF8"/>
    <w:rsid w:val="5D3C7DEA"/>
    <w:rsid w:val="5DAE2AD3"/>
    <w:rsid w:val="5FFFCCD3"/>
    <w:rsid w:val="606AD0E3"/>
    <w:rsid w:val="60B99C3C"/>
    <w:rsid w:val="618EB2CB"/>
    <w:rsid w:val="63F34630"/>
    <w:rsid w:val="64E8ACDD"/>
    <w:rsid w:val="65C434BA"/>
    <w:rsid w:val="66180495"/>
    <w:rsid w:val="663A6E78"/>
    <w:rsid w:val="6720C19B"/>
    <w:rsid w:val="672B73C4"/>
    <w:rsid w:val="67343040"/>
    <w:rsid w:val="67FE86CC"/>
    <w:rsid w:val="68845DC2"/>
    <w:rsid w:val="69259726"/>
    <w:rsid w:val="693D06C2"/>
    <w:rsid w:val="697FC4B7"/>
    <w:rsid w:val="6A2C6A32"/>
    <w:rsid w:val="6A6DA842"/>
    <w:rsid w:val="6A80B58B"/>
    <w:rsid w:val="6EEAE582"/>
    <w:rsid w:val="6EF98E43"/>
    <w:rsid w:val="6F6000D0"/>
    <w:rsid w:val="6FA78FD9"/>
    <w:rsid w:val="7429FA5A"/>
    <w:rsid w:val="74E74952"/>
    <w:rsid w:val="7624855C"/>
    <w:rsid w:val="77429120"/>
    <w:rsid w:val="77A5E954"/>
    <w:rsid w:val="77F55F63"/>
    <w:rsid w:val="78206EBD"/>
    <w:rsid w:val="79058C7D"/>
    <w:rsid w:val="796462E4"/>
    <w:rsid w:val="79F61067"/>
    <w:rsid w:val="7BCB94DA"/>
    <w:rsid w:val="7CCFD4F8"/>
    <w:rsid w:val="7EF90B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1B4CBDD7-0AE2-43BF-82DD-17D7585D7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F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B2CEE"/>
    <w:rPr>
      <w:rFonts w:eastAsia="Times New Roman"/>
      <w:noProof/>
      <w:lang w:val="en-GB" w:eastAsia="ko-KR"/>
    </w:rPr>
  </w:style>
  <w:style w:type="character" w:styleId="PlaceholderText">
    <w:name w:val="Placeholder Text"/>
    <w:basedOn w:val="DefaultParagraphFont"/>
    <w:uiPriority w:val="99"/>
    <w:semiHidden/>
    <w:rsid w:val="007A5C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89924362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68461300">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096948370">
      <w:bodyDiv w:val="1"/>
      <w:marLeft w:val="0"/>
      <w:marRight w:val="0"/>
      <w:marTop w:val="0"/>
      <w:marBottom w:val="0"/>
      <w:divBdr>
        <w:top w:val="none" w:sz="0" w:space="0" w:color="auto"/>
        <w:left w:val="none" w:sz="0" w:space="0" w:color="auto"/>
        <w:bottom w:val="none" w:sz="0" w:space="0" w:color="auto"/>
        <w:right w:val="none" w:sz="0" w:space="0" w:color="auto"/>
      </w:divBdr>
    </w:div>
    <w:div w:id="1101099938">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21273699">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88023093">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0275575">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37470774">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 w:id="2136287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563</TotalTime>
  <Pages>4</Pages>
  <Words>1698</Words>
  <Characters>8416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107</cp:revision>
  <dcterms:created xsi:type="dcterms:W3CDTF">2024-09-23T20:19:00Z</dcterms:created>
  <dcterms:modified xsi:type="dcterms:W3CDTF">2024-10-07T16:40:00Z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